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452-424b3_venhub.htm"/>
      <w:bookmarkStart w:id="1" w:name="ksea0297452424b3_venhub"/>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333-296954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02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5048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6,170,000 shares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6,170,000 shares of our common stock by the selling stockholders (which term, as used in this prospectus, includes pledgees, donees, transferees or other successors-in-interest) identified in this prospectus. The 6,170,000 shares are comprised of (i) 5,470,000 shares of common stock issued and outstanding and (ii) 700,000 shares of common stock issuable under an agreement with one of the selling stockholders. As further described in the section titled “Selling Stockholders”, these 700,000 shares shall be issued pursuant to the following schedule: (i) 50,000 shares on the effective date of this registration statement (the “Effective Date”), (ii) 50,000 shares 30 days after the Effective Date, (iii) 100,000 shares 60 days after the Effective Date, (iv) 75,000 shares 120 days after the Effective Date, (v) 75,000 shares 150 days after the Effective Date, (vi) 50,000 shares 180 days after the Effective Date, 50,000 shares 210 days after the Effective Date, (viii) 50,000 shares 240 days after the Effective Date, (ix) 50,000 shares 270 days after the Effective Date, (x) 50,000 shares 300 days after the Effective Date and (xi) 100,000 shares 330 days after the Effective Date. There are no conditions to the issuance of the 700,000 shares other than the effectiveness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selling stockholders and the agreements pursuant to which we agreed to issue the shares, see the section titled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we will not receive any proceeds from the 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bear all of the expenses incurred in connection with the registration of these shares. The selling stockholders will pay or assume discounts, commissions, fees of underwriters, selling brokers or dealer managers and similar expenses, if any, incurred for the sale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in this prospectus may offer the shares from time to time through a number of different ways and at varying prices, including public or private transactions at prevailing market prices, at prices related to prevailing market prices or at privately negotiated prices. For additional information on the methods of sale that may be used by the selling stockholders, see the section titled “Plan of Distribution” on page 11. For a list of the selling stockholders, see the section titled “Selling Stockholders” on page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(“Nasdaq”) under the symbol “VHUB.” On July 7, 2026, the closing sale price of our common stock as reported on Nasdaq was $1.02. You are urged to obtain current market quotations for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founder and Chief Executive Officer, Shahan Ohanessian, along with the Chairwoman of the Board of Directors, his wife, Shoushana Ohanessian, beneficially own approximately 83% of the voting power of our outstanding voting securities through their ownership of Series C Preferred Stock and common stock, and we are a “controlled company” within the meaning of the listing rules of The Nasdaq Stock Market LLC. Under Nevada Revised Statutes Section 78.195, the voting rights and powers of this preferred stock have been established in our articles of incorporation. We may rely on the exemptions from the corporate governance requirements that are available to controlled companies. See “Risk Factors — </w:t>
      </w: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We have elected to use the extended transition period for complying with any new or revised financial accounting standards provided pursuant to Section 7(a)(2)(B)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under U.S. federal securities law and, as such, hereby elect to incorporate by reference information filed after the effective date of this Registration Statement. All documents subsequently filed by the Company pursuant to Sections 13(a), 13(c), 14 or 15(d) of the Exchange Act, prior to the termination of this Offering shall be deemed to be incorporated by reference into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risks. See the “Risk Factors” section beginning on page 5 and under similar headings in the documents incorporated by reference into this prospectus for risks you should consider before investing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0" cy="3467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3467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467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5765"/>
        <w:gridCol w:w="60"/>
        <w:gridCol w:w="455"/>
      </w:tblGrid>
      <w:tr>
        <w:trPr/>
        <w:tc>
          <w:tcPr>
            <w:tcW w:w="576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5765" w:type="dxa"/>
            <w:tcBorders/>
            <w:shd w:fill="CCEEFF" w:val="clear"/>
            <w:vAlign w:val="center"/>
          </w:tcPr>
          <w:p>
            <w:pPr>
              <w:pStyle w:val="TableContents"/>
              <w:bidi w:val="0"/>
              <w:spacing w:before="0" w:after="283"/>
              <w:jc w:val="left"/>
              <w:rPr/>
            </w:pPr>
            <w:hyperlink w:anchor="d_007">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5765" w:type="dxa"/>
            <w:tcBorders/>
            <w:shd w:fill="FFFFFF" w:val="clear"/>
            <w:vAlign w:val="center"/>
          </w:tcPr>
          <w:p>
            <w:pPr>
              <w:pStyle w:val="TableContents"/>
              <w:bidi w:val="0"/>
              <w:spacing w:before="0" w:after="283"/>
              <w:jc w:val="left"/>
              <w:rPr/>
            </w:pPr>
            <w:hyperlink w:anchor="d_008">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5765" w:type="dxa"/>
            <w:tcBorders/>
            <w:shd w:fill="CCEEFF" w:val="clear"/>
            <w:vAlign w:val="center"/>
          </w:tcPr>
          <w:p>
            <w:pPr>
              <w:pStyle w:val="TableContents"/>
              <w:bidi w:val="0"/>
              <w:spacing w:before="0" w:after="283"/>
              <w:jc w:val="left"/>
              <w:rPr/>
            </w:pPr>
            <w:hyperlink w:anchor="d_009">
              <w:r>
                <w:rPr>
                  <w:rStyle w:val="InternetLink"/>
                  <w:rFonts w:ascii="Times New Roman;Times;Serif" w:hAnsi="Times New Roman;Times;Serif"/>
                  <w:sz w:val="20"/>
                </w:rPr>
                <w:t>THE OFFERING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5765" w:type="dxa"/>
            <w:tcBorders/>
            <w:shd w:fill="FFFFFF" w:val="clear"/>
            <w:vAlign w:val="center"/>
          </w:tcPr>
          <w:p>
            <w:pPr>
              <w:pStyle w:val="TableContents"/>
              <w:bidi w:val="0"/>
              <w:spacing w:before="0" w:after="283"/>
              <w:jc w:val="left"/>
              <w:rPr/>
            </w:pPr>
            <w:hyperlink w:anchor="d_010">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w:t>
            </w:r>
          </w:p>
        </w:tc>
      </w:tr>
      <w:tr>
        <w:trPr/>
        <w:tc>
          <w:tcPr>
            <w:tcW w:w="5765" w:type="dxa"/>
            <w:tcBorders/>
            <w:shd w:fill="CCEEFF" w:val="clear"/>
            <w:vAlign w:val="center"/>
          </w:tcPr>
          <w:p>
            <w:pPr>
              <w:pStyle w:val="TableContents"/>
              <w:bidi w:val="0"/>
              <w:spacing w:before="0" w:after="283"/>
              <w:jc w:val="left"/>
              <w:rPr/>
            </w:pPr>
            <w:hyperlink w:anchor="d_011">
              <w:r>
                <w:rPr>
                  <w:rStyle w:val="InternetLink"/>
                  <w:rFonts w:ascii="Times New Roman;Times;Serif" w:hAnsi="Times New Roman;Times;Serif"/>
                  <w:sz w:val="20"/>
                </w:rPr>
                <w:t>SPECIAL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8</w:t>
            </w:r>
          </w:p>
        </w:tc>
      </w:tr>
      <w:tr>
        <w:trPr/>
        <w:tc>
          <w:tcPr>
            <w:tcW w:w="5765" w:type="dxa"/>
            <w:tcBorders/>
            <w:shd w:fill="FFFFFF" w:val="clear"/>
            <w:vAlign w:val="center"/>
          </w:tcPr>
          <w:p>
            <w:pPr>
              <w:pStyle w:val="TableContents"/>
              <w:bidi w:val="0"/>
              <w:spacing w:before="0" w:after="283"/>
              <w:jc w:val="left"/>
              <w:rPr/>
            </w:pPr>
            <w:hyperlink w:anchor="d_012">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CCEEFF" w:val="clear"/>
            <w:vAlign w:val="center"/>
          </w:tcPr>
          <w:p>
            <w:pPr>
              <w:pStyle w:val="TableContents"/>
              <w:bidi w:val="0"/>
              <w:spacing w:before="0" w:after="283"/>
              <w:jc w:val="left"/>
              <w:rPr/>
            </w:pPr>
            <w:hyperlink w:anchor="d_014">
              <w:r>
                <w:rPr>
                  <w:rStyle w:val="InternetLink"/>
                  <w:rFonts w:ascii="Times New Roman;Times;Serif" w:hAnsi="Times New Roman;Times;Serif"/>
                  <w:sz w:val="20"/>
                </w:rPr>
                <w:t>SELLING STOCKHOLDERS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FFFFFF" w:val="clear"/>
            <w:vAlign w:val="center"/>
          </w:tcPr>
          <w:p>
            <w:pPr>
              <w:pStyle w:val="TableContents"/>
              <w:bidi w:val="0"/>
              <w:spacing w:before="0" w:after="283"/>
              <w:jc w:val="left"/>
              <w:rPr/>
            </w:pPr>
            <w:hyperlink w:anchor="d_015">
              <w:r>
                <w:rPr>
                  <w:rStyle w:val="InternetLink"/>
                  <w:rFonts w:ascii="Times New Roman;Times;Serif" w:hAnsi="Times New Roman;Times;Serif"/>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11</w:t>
            </w:r>
          </w:p>
        </w:tc>
      </w:tr>
      <w:tr>
        <w:trPr/>
        <w:tc>
          <w:tcPr>
            <w:tcW w:w="5765" w:type="dxa"/>
            <w:tcBorders/>
            <w:shd w:fill="CCEEFF" w:val="clear"/>
            <w:vAlign w:val="center"/>
          </w:tcPr>
          <w:p>
            <w:pPr>
              <w:pStyle w:val="TableContents"/>
              <w:bidi w:val="0"/>
              <w:spacing w:before="0" w:after="283"/>
              <w:jc w:val="left"/>
              <w:rPr/>
            </w:pPr>
            <w:hyperlink w:anchor="d_016">
              <w:r>
                <w:rPr>
                  <w:rStyle w:val="InternetLink"/>
                  <w:rFonts w:ascii="Times New Roman;Times;Serif" w:hAnsi="Times New Roman;Times;Serif"/>
                  <w:sz w:val="20"/>
                </w:rPr>
                <w:t>DESCRIPTION OF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13</w:t>
            </w:r>
          </w:p>
        </w:tc>
      </w:tr>
      <w:tr>
        <w:trPr/>
        <w:tc>
          <w:tcPr>
            <w:tcW w:w="5765" w:type="dxa"/>
            <w:tcBorders/>
            <w:shd w:fill="FFFFFF" w:val="clear"/>
            <w:vAlign w:val="center"/>
          </w:tcPr>
          <w:p>
            <w:pPr>
              <w:pStyle w:val="TableContents"/>
              <w:bidi w:val="0"/>
              <w:spacing w:before="0" w:after="283"/>
              <w:jc w:val="left"/>
              <w:rPr/>
            </w:pPr>
            <w:hyperlink w:anchor="d_013">
              <w:r>
                <w:rPr>
                  <w:rStyle w:val="InternetLink"/>
                  <w:rFonts w:ascii="Times New Roman;Times;Serif" w:hAnsi="Times New Roman;Times;Serif"/>
                  <w:sz w:val="20"/>
                </w:rPr>
                <w:t>DIVIDEND POLICY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9</w:t>
            </w:r>
          </w:p>
        </w:tc>
      </w:tr>
      <w:tr>
        <w:trPr/>
        <w:tc>
          <w:tcPr>
            <w:tcW w:w="5765" w:type="dxa"/>
            <w:tcBorders/>
            <w:shd w:fill="CCEEFF" w:val="clear"/>
            <w:vAlign w:val="center"/>
          </w:tcPr>
          <w:p>
            <w:pPr>
              <w:pStyle w:val="TableContents"/>
              <w:bidi w:val="0"/>
              <w:spacing w:before="0" w:after="283"/>
              <w:jc w:val="left"/>
              <w:rPr/>
            </w:pPr>
            <w:hyperlink w:anchor="d_017">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17</w:t>
            </w:r>
          </w:p>
        </w:tc>
      </w:tr>
      <w:tr>
        <w:trPr/>
        <w:tc>
          <w:tcPr>
            <w:tcW w:w="5765" w:type="dxa"/>
            <w:tcBorders/>
            <w:shd w:fill="FFFFFF" w:val="clear"/>
            <w:vAlign w:val="center"/>
          </w:tcPr>
          <w:p>
            <w:pPr>
              <w:pStyle w:val="TableContents"/>
              <w:bidi w:val="0"/>
              <w:spacing w:before="0" w:after="283"/>
              <w:jc w:val="left"/>
              <w:rPr/>
            </w:pPr>
            <w:hyperlink w:anchor="d_018">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17</w:t>
            </w:r>
          </w:p>
        </w:tc>
      </w:tr>
      <w:tr>
        <w:trPr/>
        <w:tc>
          <w:tcPr>
            <w:tcW w:w="5765" w:type="dxa"/>
            <w:tcBorders/>
            <w:shd w:fill="CCEEFF" w:val="clear"/>
            <w:vAlign w:val="center"/>
          </w:tcPr>
          <w:p>
            <w:pPr>
              <w:pStyle w:val="TableContents"/>
              <w:bidi w:val="0"/>
              <w:spacing w:before="0" w:after="283"/>
              <w:jc w:val="left"/>
              <w:rPr/>
            </w:pPr>
            <w:hyperlink w:anchor="d_019">
              <w:r>
                <w:rPr>
                  <w:rStyle w:val="InternetLink"/>
                  <w:rFonts w:ascii="Times New Roman;Times;Serif" w:hAnsi="Times New Roman;Times;Serif"/>
                  <w:sz w:val="20"/>
                </w:rPr>
                <w:t>INCORPORATION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18</w:t>
            </w:r>
          </w:p>
        </w:tc>
      </w:tr>
      <w:tr>
        <w:trPr/>
        <w:tc>
          <w:tcPr>
            <w:tcW w:w="5765" w:type="dxa"/>
            <w:tcBorders/>
            <w:shd w:fill="FFFFFF" w:val="clear"/>
            <w:vAlign w:val="center"/>
          </w:tcPr>
          <w:p>
            <w:pPr>
              <w:pStyle w:val="TableContents"/>
              <w:bidi w:val="0"/>
              <w:spacing w:before="0" w:after="283"/>
              <w:jc w:val="left"/>
              <w:rPr/>
            </w:pPr>
            <w:hyperlink w:anchor="d_020">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rely only on the information contained or incorporated by reference to this prospectus in deciding whether to purchase our common stock. We have not, and the selling stockholders have not, authorized anyone to provide you with information other than the information that has been provided or incorporated by reference in this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the document incorporated by reference, regardless of the time of delivery of this prospectus, or any sale of our securities. Our business, financial condition and results of operations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d_007"/>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under the caption “Selling Stockholders,” from time to time, of up to an aggregate of 6,170,000 shares of our common stock. We are not selling any shares of our common stock under this prospectus, and we will not receive any proceeds from the sale of shares of common stock offered hereby by the selling stockholders, although we may receive cash from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appearing in this prospectus, the documents incorporated by reference in this prospectus and any free writing prospectus authorized for use in connection with this offering is accurate only as of its respective date, regardless of the time of delivery of the respective document or of any sale of securities covered by this prospectus. You should not assume that the information contained in or incorporated by reference in this prospectus, or in any free writing prospectus that is authorized for use in connection with this offering, is accurate as of any date other than the respective dates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stockholders have done anything that would permit this offering or possession or distribution of this prospectus in any jurisdiction where action for that purpose is required, other than in the United States. Person who come into possession of this prospectus and any free writing prospectus in jurisdictions outside the United States are required to inform themselves about and to observe any restrictions as to this offering and the distribution of this prospectus and any free writing prospectus applicable to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and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incorporated by reference or provided in this prospectus contains statistical data and estimates, including those relating to market size and competitive position of the markets in which we participate, that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While we believe our internal company research is reliable and the definitions of our market and industry are appropriate, neither this research nor these definitions have been verified by any independent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d_008"/>
      <w:bookmarkEnd w:id="3"/>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included elsewhere in or incorporated by reference in this prospectus and does not contain all of the information that you should consider before investing in our securities. Before making an investment decision, you should read the entire prospectus carefully, including the risk factors section, the financial statements and related notes and other available information incorporated by reference into this prospectus and any amendment or supplement hereto.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Company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br/>
        <w:t>VenHub Global, Inc. is a fully autonomous and robotic-operated store that utilizes advanced technologies such as artificial intelligence (AI) and smart inventory management systems to offer a seamless shopping experience for customers. The Company intends VenHub technology to combine the convenience of a store with the efficiency of robotics. This will be achieved by providing customers with a unique shopping experience that will be fully autonomous and that operates 24/7. The Company believes that with its use of advanced sensors, artificial intelligence, and robotics, VenHub is designed to ensure that customers will always have access to products with a few taps on their smartphones. From scanning and purchasing products to bagging and delivering them, VenHub’s robots will be able to take care of everything in a seamless and efficient manner. The store’s artificial intelligence algorithm will be able to keep track of customer preferences, allowing it to tailor its offering to meet individual customer’s tastes and preferences.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business model is designed to generate both one-time deployment revenue from the sale and installation of Smart Store units, as well as recurring revenue from SaaS subscriptions, maintenance agreements, support services, and other platform-related offerings. While the Company has not yet charged customers for SaaS or maintenance services as part of its early commercialization strategy, management expects recurring revenue streams to become an increasingly important component of the Company’s operating model as commercial deployments expand.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recurring nature of SaaS and maintenance revenue may provide greater long-term revenue visibility and operating leverage as the installed base of Smart Store units grows.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continuing to build its commercialization and deployment infrastructure to support the anticipated expansion of Smart Store deployments. Through its subsidiaries, the Company manages manufacturing, assembly, installation, software development, maintenance, and support operations associated with its Smart Store platform. Management believes the Company’s operational structure is designed to support future scaling of deployments across both Company-owned and customer-operated locations.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commercialization efforts continue, the Company expects scaling activities to include increased manufacturing capacity, inventory procurement, deployment logistics, installation coordination, software support, and field maintenance operations. The Company’s ability to expand deployments remains dependent on several factors, including available capital resources, supply chain conditions, customer demand, site readiness, and operational execution.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Management believes the Company’s current investments in inventory, infrastructure, software, and operational capabilities position the Company to support future growth and broader commercial rollout initiatives.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has four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LLC to manage manufacturing, assembly and installation of units.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Services LLC to provide software-as-a-service (SaaS) and ongoing maintenance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IP, LLC to hold and manage the Company’s intellectual property.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Stores LLC, to manage all Company owned stores.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the Company commenced trading under the ticker symbol “VHUB” on the NASDAQ Global Market.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incurred significant losses and negative cash flows from our operations since inception. As of March 31, 2026, we had an accumulated deficit of approximately $98.78 million and working capital of approximately $1.7 million. As of December 31, 2025, we had an accumulated deficit of approximately $82.17 million and negative working capital of approximately $9.2 million. As of March 31, 2026, we had cash and cash equivalents of approximately $5.8 million. As of December 31, 2025, we had cash and cash equivalents of approximately $0.089 million. Based on our historical and anticipated rate of cash expenditures, we do not anticipate our existing working capital will be sufficient to sustain our business through the commercialization of our product candidates or the execution of our current business plan. Therefore, we are dependent on obtaining additional funding from outside sources, including equity or debt financings, warrant exercises, strategic transactions, commercial arrangements, or other sources of financing, in order to continue our operations. We cannot provide assurance that additional financing will be available to us and, if available, that it will be completed on a timely basis, on acceptable terms or at all. If we are unable to obtain sufficient financing when needed, it would negatively impact our business and operations, which could cause the price of our common stock to decline or ultimately force us to reduce, suspend or cease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years ended December 31, 2025 and 2024, we incurred net losses of approximately $62.4 million and $9.4 million, respectively. We have not yet achieved profitability and expect to continue to incur losses for the foreseeable future. Our future capital needs will depend on a number of factors, including the development and operating requirements of our business and stores, our corporate overhead, debt service obligations, and public company costs.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independent auditors, in their reports dated March 24, 2026 and March 28, 2025 with respect to our financial statements for the years ended December 31, 2025 and 2024, respectively, included explanatory paragraphs expressing substantial doubt regarding our ability to continue as a going concern. The going concern disclosures reflected, among other factors, the Company’s recurring operating losses, negative operating cash flows, accumulated deficit, and dependence on additional financing to fund operations and execute its business plan.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7, 2026, the Company filed a Definitive Information Statement on Schedule 14C with the SEC in connection with the approval by stockholders holding a majority of our voting power of a Certificate of Amendment to our articles of incorporation to increase the number of authorized shares of common stock from 100,000,000 to 300,000,000 shares of common stock.</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VenHub Global, Inc. was incorporated in the state of Wyoming on January 31, 2023, as “Autonomous Solutions, Inc.” and redomiciled in Delaware with the name VenHub Global, Inc. on August 15, 2024. The Company redomiciled in Nevada on October 3,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Our Being an “Emerging Growth Company”</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(the “JOBS Act”), and we are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management’s discussion and analysis of financial condition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As a result, investors may find investing in our Shares less attractive.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We may take advantage of these provisions for up to five years or such earlier time that we are no longer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elected to avail ourselves of the extended transition period for implementing new or revised financial accounting standards.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earliest of (i) the last day of the fiscal year during which we have total annual gross revenues of at least US$1.235 billion; (ii) the last day of our fiscal year following the fifth anniversary of the completion of our offering of our shares of common stock in October 2025; (iii) the date on which we have, during the preceding three-year period, issued more than US$1.0 billion in non-convertible debt; or (iv) the date on which we are deemed to be a “large accelerated filer” under the Exchange Act, which would occur if the market value of our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Available Information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maintain our corporate website at www.venhub.com. Information on our website does not constitute a part of, nor is it incorporated in any way, into this prospectus and should not be relied upon in connection with making an investment decision. Our SEC filings, including any amendments, will be made available free of charge on our website as soon as reasonably practicable after we electronically file such material with, or furnish it to, the SEC.</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common stock is quoted on the Nasdaq under the symbol “VHUB”. We file annual, quarterly, and current reports, proxy statements and other information with the U.S. Securities Exchange Commission (the “SEC”) and are subject to the requirements of the Securities and Exchange Act of 1934, as amended (the “Exchange Act”). These filings are available to the public on the Internet on the SEC’s website at www.sec.gov.</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business address is 5360 Procyon Street, Las Vegas</w:t>
      </w:r>
      <w:r>
        <w:rPr>
          <w:rFonts w:ascii="Times New Roman;Times;Serif" w:hAnsi="Times New Roman;Times;Serif"/>
          <w:b w:val="false"/>
          <w:i w:val="false"/>
          <w:caps w:val="false"/>
          <w:smallCaps w:val="false"/>
          <w:sz w:val="20"/>
          <w:u w:val="single"/>
          <w:bdr w:val="single" w:sz="12" w:space="1" w:color="000000"/>
        </w:rPr>
        <w:t>, </w:t>
      </w:r>
      <w:r>
        <w:rPr>
          <w:rFonts w:ascii="Times New Roman;Times;Serif" w:hAnsi="Times New Roman;Times;Serif"/>
          <w:b w:val="false"/>
          <w:i w:val="false"/>
          <w:caps w:val="false"/>
          <w:smallCaps w:val="false"/>
          <w:sz w:val="20"/>
          <w:bdr w:val="single" w:sz="12" w:space="1" w:color="000000"/>
        </w:rPr>
        <w:t>NV</w:t>
      </w:r>
      <w:r>
        <w:rPr>
          <w:rFonts w:ascii="Times New Roman;Times;Serif" w:hAnsi="Times New Roman;Times;Serif"/>
          <w:b w:val="false"/>
          <w:i w:val="false"/>
          <w:caps w:val="false"/>
          <w:smallCaps w:val="false"/>
          <w:sz w:val="20"/>
          <w:u w:val="single"/>
          <w:bdr w:val="single" w:sz="12" w:space="1" w:color="000000"/>
        </w:rPr>
        <w:t> </w:t>
      </w:r>
      <w:r>
        <w:rPr>
          <w:rFonts w:ascii="Times New Roman;Times;Serif" w:hAnsi="Times New Roman;Times;Serif"/>
          <w:b w:val="false"/>
          <w:i w:val="false"/>
          <w:caps w:val="false"/>
          <w:smallCaps w:val="false"/>
          <w:sz w:val="20"/>
          <w:bdr w:val="single" w:sz="12" w:space="1" w:color="000000"/>
        </w:rPr>
        <w:t>89118 and our telephone number is (888) 585-4999.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4" w:name="d_009"/>
      <w:bookmarkEnd w:id="4"/>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33"/>
        <w:gridCol w:w="8972"/>
      </w:tblGrid>
      <w:tr>
        <w:trPr/>
        <w:tc>
          <w:tcPr>
            <w:tcW w:w="1233"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The Issuer</w:t>
            </w:r>
          </w:p>
        </w:tc>
        <w:tc>
          <w:tcPr>
            <w:tcW w:w="89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VenHub Global, Inc. is a Nevada Corporation</w:t>
            </w:r>
          </w:p>
        </w:tc>
      </w:tr>
      <w:tr>
        <w:trPr/>
        <w:tc>
          <w:tcPr>
            <w:tcW w:w="1233"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ind w:left="0" w:right="0" w:hanging="180"/>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Securities Being Registered</w:t>
            </w:r>
          </w:p>
        </w:tc>
        <w:tc>
          <w:tcPr>
            <w:tcW w:w="89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6,170,000 shares are comprised of (i) 5,470,000 shares of common stock issued and outstanding and (ii) 700,000 shares of common stock issuable under an agreement with one of the selling stockholders. As further described in the section titled “Selling Stockholders”, these 700,000 shares shall be issued pursuant to the following schedule: (i) 50,000 shares on the effective date of this registration statement (the “Effective Date”), (ii) 50,000 shares 30 days after the Effective Date, (iii) 100,000 shares 60 days after the Effective Date, (iv) 75,000 shares 120 days after the Effective Date, (v) 75,000 shares 150 days after the Effective Date, (vi) 50,000 shares 180 days after the Effective Date, 50,000 shares 210 days after the Effective Date, (viii) 50,000 shares 240 days after the Effective Date, (ix) 50,000 shares 270 days after the Effective Date, (x) 50,000 shares 300 days after the Effective Date and (xi) 100,000 shares 330 days after the Effective Date. There are no conditions to the issuance of the 700,000 shares other than the effectiveness of this registration statement. Our common stock is described in further detail in the section of this prospectus titled “Description of Securities - Common Stock.”</w:t>
            </w:r>
          </w:p>
        </w:tc>
      </w:tr>
      <w:tr>
        <w:trPr/>
        <w:tc>
          <w:tcPr>
            <w:tcW w:w="1233"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ind w:left="0" w:right="0" w:hanging="180"/>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Offering Type</w:t>
            </w:r>
          </w:p>
        </w:tc>
        <w:tc>
          <w:tcPr>
            <w:tcW w:w="8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is being made on behalf of those selling stockholders identified herein.</w:t>
            </w:r>
          </w:p>
        </w:tc>
      </w:tr>
      <w:tr>
        <w:trPr/>
        <w:tc>
          <w:tcPr>
            <w:tcW w:w="1233"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ind w:left="0" w:right="0" w:hanging="180"/>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Nasdaq Symbol</w:t>
            </w:r>
          </w:p>
        </w:tc>
        <w:tc>
          <w:tcPr>
            <w:tcW w:w="89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VHUB</w:t>
            </w:r>
          </w:p>
        </w:tc>
      </w:tr>
      <w:tr>
        <w:trPr/>
        <w:tc>
          <w:tcPr>
            <w:tcW w:w="1233"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ind w:left="0" w:right="0" w:hanging="180"/>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Common Stock Outstanding Before </w:t>
              <w:br/>
              <w:t>this Offering</w:t>
            </w:r>
          </w:p>
        </w:tc>
        <w:tc>
          <w:tcPr>
            <w:tcW w:w="8972"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90,392,857 shares of common stock issued and outstanding as of the date of this prospectus, which are held by 2,770 holders.</w:t>
            </w:r>
          </w:p>
        </w:tc>
      </w:tr>
      <w:tr>
        <w:trPr/>
        <w:tc>
          <w:tcPr>
            <w:tcW w:w="1233"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ind w:left="0" w:right="0" w:hanging="180"/>
              <w:jc w:val="left"/>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Use of Proceeds </w:t>
            </w:r>
          </w:p>
        </w:tc>
        <w:tc>
          <w:tcPr>
            <w:tcW w:w="897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Company will not receive any proceeds from the sale of the Shares offered hereby by the selling stockholders.</w:t>
            </w:r>
          </w:p>
        </w:tc>
      </w:tr>
      <w:tr>
        <w:trPr/>
        <w:tc>
          <w:tcPr>
            <w:tcW w:w="1233"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ind w:left="0" w:right="0" w:hanging="180"/>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8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investment in our common stock involves a high degree of risk. You should carefully consider the risk factors set forth under the “Risk Factors” section herein and the other information contained or incorporated by reference in this prospectus before making an investment decision regarding our common stock.</w:t>
            </w:r>
          </w:p>
        </w:tc>
      </w:tr>
    </w:tbl>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d_010"/>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You should carefully consider the following risks and all of the other information contained or incorporated by reference in this prospectus before deciding whether to invest in our securities, including the risks and uncertainties described below and under the caption “Risk Factors” in our most recently filed Annual Report on Form 10-K and any Quarterly Reports on Form 10-Q filed with the SEC, in each case as these risk factors are amended or supplemented by subsequent Annual Reports on Form 10-K or Quarterly Reports on Form 10-Q. Our business, financial condition, results of operations and future prospects may be adversely affected as a result of such risks. In such an event, the market price of our common stock could decline, and you could lose part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i w:val="false"/>
          <w:caps/>
          <w:sz w:val="20"/>
        </w:rPr>
        <w:t>Risks Relating to Ownership of Our Securities</w:t>
      </w:r>
      <w:r>
        <w:rPr>
          <w:rFonts w:ascii="Times New Roman;Times;Serif" w:hAnsi="Times New Roman;Times;Serif"/>
          <w:b w:val="false"/>
          <w:i w:val="false"/>
          <w:caps/>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maintain compliance with Nasdaq’s continued listing requirements could result in the delisting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Stock Market LLC. We must satisfy the continued listing requirements of Nasdaq, to maintain the listing of our common stock on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we received a notification letter from the Listing Qualifications Department of The Nasdaq Stock Market LLC notifying the Company that, because the closing bid price for the Company’s common stock listed on Nasdaq was below $1.00 for the last 30 consecutive business days, the Company no longer meets the minimum bid price requirement for continued listing on the Nasdaq Global Market under Nasdaq Marketplace Rule 5450(a)(1), requiring a minimum bid price of at least $1.00 per share (the “Minimum Bid Price Requirement”). The notification had no immediate effect on the listing of the Company’s common stock. In accordance with Nasdaq Marketplace Rule 5810(c)(3)(A), the Company has a period of 180 calendar days, or until October 27, 2026,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we received a letter from Nasdaq notifying us that, as the closing bid price of the Company’s common stock for the last 10 consecutive business days, from May 7, 2026 to May 20, 2026, has been at $1.00 per share or greater, the Company has regained compliance with Nasdaq’s Listing Rule 5450(a)(1), and that this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sustain compliance with all applicable requirements for continued listing on the Nasdaq, our common stock may be delisted from Nasdaq. In that event, our shares would likely trade on an over-the-counter market, which could materially and adversely affect investors. Delisting could result in reduced liquidity, lower trading prices, increased volatility, decreased analyst coverage, and limited access to capital. In addition, certain institutional investors may be unable to hold or purchase our securities, which could further negatively impact the market for our common stock. We may pursue actions to regain compliance, including a reverse stock split, although there can be no assurance that such actions would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dependency on external funding for our operations raises a substantial doubt about our ability to continue as a going concern. If we do not continue as a going concern, investors could lose their entire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reflected in the accompanying financial statements, since its inception, the Company has experienced recurring losses. As of March 31, 2026, we had an accumulated deficit of approximately $98.78 million and working capital of approximately $1.7 million. As of December 31, 2025, we had an accumulated deficit of approximately $82.17 million and negative working capital of approximately $9.2 million. These matters raise substantial doubt about the Company’s ability to continue as a going concern. During the next twelve months, the Company intends to fund its operations with funds from revenue producing activities along with exploring both additional equity and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we completed a financing transaction providing for aggregate gross proceeds of $18.865 million. Based on cash on hand as of June 22, 2026, we currently anticipate having sufficient liquidity to fund planned operations into the first quarter of 2027. However, this estimate is based on assumptions that may prove to be incorrect, and we may require additional financing sooner than currently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required to raise additional capital in order to develop our technology and scale our commercial delivery operations. However, we may be unable to raise additional capital needed to fund and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develop our next generation of autonomous smart stores and scale our operations. We will not be able to continue product development and our autonomous smart store operations if we cannot raise additional debt and/or equity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increase our capital resources by engaging in additional debt or equity financings. Even if we complete such financings, they may result in dilution to our existing investors and include additional rights or terms that may be unfavorable to our existing investor base. These circumstances could materially and adversely affect our financial results and impair our ability to achieve our business objectives. Additionally, we may be required to accept terms that restrict our ability to incur additional indebtedness or take other actions (including terms that require us to maintain specified liquidity or other ratios) that would otherwise be in the best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controlling stockholders which include our Chief Executive Officer have significant influence over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Shahan Ohanessian, along with his wife, Shoushana Ohanessian, who sits as Chairwoman of the Board of Directors, holds, through their limited liability company SSO, LLC, approximately 83% of the voting power of our outstanding voting securities. As of June 22, 2026, Our Chief Executive Officer, Shahan Ohanessian, along with his wife, Shoushana Ohanessian, are holding 59,124,215 shares of common stock and 100,000 shares of Series C Preferred Stock to SSO LLC, which have voting rights of 1,000 per each share. As a result, Mr. and Mrs. Ohanessian collectively control over 83% voting rights on all matters presented to shareholders, limiting shareholders’ ability to affect decision 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controlling amount of their share ownership in our Company, our chief executive officer has a significant influence in determining the outcome of all corporate transactions, including the power to prevent or cause a change in control. His interests may differ from the interests of other stockholders and thus result in corporate decisions that are disadvantageous to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a “controlled company” within the meaning of the applicable rules of Nasdaq and, as a result, we qualify for exemptions from certain corporate governance requirements. If the Company relies on these exemptions, its stockholders will not have the same protections afforded to stockholders of companies that are subject to such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 “controlled company” within the meaning of the applicable rules of Nasdaq. Our Chief Executive Officer, Shahan Ohanessian, along with his wife, Shoushana Ohanessian, who sits as Chairwoman of the Board of Directors, holds, through their limited liability company SSO, LLC, approximately 83% of the voting power of our outstanding voting securities and accordingly, he has the ability to determine all matters requiring approval by stockholders. As a result, we qualify for exemptions from certain corporate governance requirements. If the Company relies on these exemptions, which it does not intend to do, its stockholders will not have the same protections afforded to stockholders of companies that are subject to such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majority of the board consists of independent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 annual performance evaluation of the nominating and corporate governance and compensation committees;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controlled company has a nominating and corporate governance committee that is composed entirely of independent directors with a written charter addressing the committee’s purpose and responsibilities; and</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controlled company has a compensation committee that is composed entirely of independent directors with a written charter addressing the committee’s purpose and responsibility.</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does not intend to rely on these exemptions, the Company may use these exemptions now or in the future. As a result, the Company’s stockholders may not have the same protections afforded to stockholders of companies that are subject to all of the Nasdaq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future market price for the shares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has experienced significant price volatility since our initial listing on January 30, 2026, and such volatility may continue. Since our listing, the trading price of our common stock has fluctuated substantially, including declines to below $1.00 per share, and has been subject to significant variability in trading volume and price. This volatility may be attributable to a number of factors, including limited trading history, low public float, changes in investor perception, market conditions, and other factors that are beyond our control. As a result, the market price of our common stock may continue to fluctuate significantly in the future. Continued volatility in our stock price could result in substantial losses for investors, make it more difficult for investors to predict the value of our securities, and impair our ability to raise additional capital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listed on the Nasdaq Global Market, the market price for our shares is likely to continue to be highly volatile, and subject to wide fluctuations in response to various factors including the following:</w:t>
      </w:r>
    </w:p>
    <w:p>
      <w:pPr>
        <w:pStyle w:val="TextBody"/>
        <w:bidi w:val="0"/>
        <w:spacing w:before="0" w:after="0"/>
        <w:ind w:left="960" w:right="0" w:hanging="48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fluctuations in the Company’s quarterly operating results and revisions to expected results;</w:t>
            </w:r>
          </w:p>
        </w:tc>
      </w:tr>
    </w:tbl>
    <w:p>
      <w:pPr>
        <w:pStyle w:val="TextBody"/>
        <w:bidi w:val="0"/>
        <w:spacing w:before="0" w:after="0"/>
        <w:ind w:left="960" w:right="0" w:hanging="48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by securities research analysts;</w:t>
            </w:r>
          </w:p>
        </w:tc>
      </w:tr>
    </w:tbl>
    <w:p>
      <w:pPr>
        <w:pStyle w:val="TextBody"/>
        <w:bidi w:val="0"/>
        <w:spacing w:before="0" w:after="0"/>
        <w:ind w:left="960" w:right="0" w:hanging="48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Conditions in the U.S. financial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3"/>
        <w:gridCol w:w="9977"/>
      </w:tblGrid>
      <w:tr>
        <w:trPr/>
        <w:tc>
          <w:tcPr>
            <w:tcW w:w="7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to international, federal, state or local regulations related to artificial intelligence, automated retail technology, digital payment systems, personal data protection, and robotics;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economic performance or market valuations of industries specializing in comparable companies having securities traded on a national exchange;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by the Company or its competitors of new services, strategic relationships, joint ventures or capital commitments;</w:t>
            </w:r>
          </w:p>
        </w:tc>
      </w:tr>
    </w:tbl>
    <w:p>
      <w:pPr>
        <w:pStyle w:val="TextBody"/>
        <w:bidi w:val="0"/>
        <w:spacing w:before="0" w:after="0"/>
        <w:ind w:left="960" w:right="0" w:hanging="48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 or departure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Litigation related to any assets or intellectual property; and</w:t>
            </w:r>
          </w:p>
        </w:tc>
      </w:tr>
    </w:tbl>
    <w:p>
      <w:pPr>
        <w:pStyle w:val="TextBody"/>
        <w:bidi w:val="0"/>
        <w:spacing w:before="0" w:after="0"/>
        <w:ind w:left="960" w:right="0" w:hanging="48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or perceived potential sales of the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securities markets have from time to time, and to a greater degree since 2007, experienced significant price and volume fluctuations that bear no relation to the operating performance of particular companies. These market fluctuations may also have a materially adverse effect on the market price of the Company’s common stock. Furthermore, in the past, following periods of volatility in the market price of a public company’s securities, investors have frequently instituted securities class action litigation against that company. Litigation of this kind could result in substantial costs and a diversion of management’s attention and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shares of our common stock become subject to the penny stock rules, it would become more difficult to trade 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or another national securities exchange and if the price of our shares of common stock is less than $5.00 per share, our common stock could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 In addition,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common stock, including resale of the Shares held by the selling stockholders in the public market, could adversely affect the prevailing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6,170,000 shares of our common stock held by the selling stockholders. Sales of substantial amounts of our common stock in the public market, or the perception that such sales might occur, could adversely affect the market price of our common stock. We cannot predict if and when selling stockholders may sell such shares in the public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common stock could lower our stock price and dilute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sell additional shares of common stock or other types of our securities in subsequent public or private offerings. We cannot predict the size or terms of future issuances of our securities or the effect, if any, that future sales and issuances of our securities will have on the market price of our common stock. Sales of substantial amounts of our securities, or the perception that such sales could occur, may adversely affect prevailing market prices for our common stock. In addition, these sales may be dilutive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d_011"/>
      <w:bookmarkEnd w:id="6"/>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any prospectus supplement or the documents incorporated herein and therein by reference, including statements about future financial and operating results and performance, statements about our plans, objectives, expectations and intentions with respect to future operations, products and services, and other statements that are not historical facts,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 “believe,” “estimate,” “predict,” “potential” or “continue” or the negative of these terms or other similar conditional expressions. The forward-looking statements in this prospectus or the documents incorporated herein by reference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factors described under “Risk Factors” contained herein and in our most recently filed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are incorporated by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d_012"/>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selling stockholders’ shares of common stock registered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d_013"/>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dividends on our common stock since inception and we currently expect that, in the foreseeable future, all earnings, if any, will be retained for the development of our business and no dividends will be declared or paid. Any future dividends will be subject to the discretion of our Board of Directors and will depend upon, among other things, our earnings, if any, operating results, financial condition and capital requirements, general business conditions and other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d_014"/>
      <w:bookmarkEnd w:id="9"/>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of up to 6,170,000 shares of our common stock, par value $0.001 per share, of which 5,470,000 shares have been previously issued to certain of the selling stockholders pursuant to several service agreements entered into in 2025 and 2026, and of which 700,000 shares are issuable to another selling stockholder pursuant to the following schedule set forth in a separate binding agreement entered into with such selling stockholder on June 3, 2026: (i) 50,000 shares on the Effective Date, (ii) 50,000 shares 30 days after the Effective Date, (iii) 100,000 shares 60 days after the Effective Date, (iv) 75,000 shares 120 days after the Effective Date, (v) 75,000 shares 150 days after the Effective Date, (vi) 50,000 shares 180 days after the Effective Date, 50,000 shares 210 days after the Effective Date, (viii) 50,000 shares 240 days after the Effective Date, (ix) 50,000 shares 270 days after the Effective Date, (x) 50,000 shares 300 days after the Effective Date and (xi) 100,000 shares 330 days after the Effective Date. There are no conditions to the issuance of the 700,000 shares other than the effectiveness of this registration statement. Further, any of the 700,000 shares not yet issued to the selling stockholder shall immediately be issued upon the earliest of any: (i) a change of control, (ii) delisting of our common stock from Nasdaq (or any successor national securities exchange), (iii) failure to maintain our eligibility with our transfer agent and any applicable clearing systems (including DTC) such that the shares cannot be freely transferred when eligible or (iv) our material breach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stockholders and other information regarding the “beneficial ownership” of the shares of common stock by the selling stockholders. In accordance with Rule 13d-3 of the Exchange Act, “beneficial ownership” includes any shares of our common stock as to which the selling stockholders have sole or shared voting power or investment power and any shares of our common stock the selling stockholders have the right to acquire within 60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may be deemed to be an “underwriter” within the meaning of Section 2(a)(11) of the Securities Act.</w:t>
      </w:r>
    </w:p>
    <w:p>
      <w:pPr>
        <w:pStyle w:val="TextBody"/>
        <w:bidi w:val="0"/>
        <w:spacing w:before="0" w:after="0"/>
        <w:ind w:left="0" w:right="0" w:hanging="0"/>
        <w:jc w:val="both"/>
        <w:rPr>
          <w:caps w:val="false"/>
          <w:smallCaps w:val="false"/>
        </w:rPr>
      </w:pPr>
      <w:r>
        <w:rPr>
          <w:caps w:val="false"/>
          <w:smallCaps w:val="false"/>
        </w:rPr>
        <w:t> </w:t>
      </w:r>
    </w:p>
    <w:tbl>
      <w:tblPr>
        <w:tblW w:w="7287" w:type="dxa"/>
        <w:jc w:val="left"/>
        <w:tblInd w:w="0" w:type="dxa"/>
        <w:tblLayout w:type="fixed"/>
        <w:tblCellMar>
          <w:top w:w="0" w:type="dxa"/>
          <w:left w:w="0" w:type="dxa"/>
          <w:bottom w:w="0" w:type="dxa"/>
          <w:right w:w="0" w:type="dxa"/>
        </w:tblCellMar>
      </w:tblPr>
      <w:tblGrid>
        <w:gridCol w:w="3335"/>
        <w:gridCol w:w="60"/>
        <w:gridCol w:w="60"/>
        <w:gridCol w:w="845"/>
        <w:gridCol w:w="60"/>
        <w:gridCol w:w="60"/>
        <w:gridCol w:w="64"/>
        <w:gridCol w:w="405"/>
        <w:gridCol w:w="185"/>
        <w:gridCol w:w="60"/>
        <w:gridCol w:w="66"/>
        <w:gridCol w:w="958"/>
        <w:gridCol w:w="60"/>
        <w:gridCol w:w="60"/>
        <w:gridCol w:w="61"/>
        <w:gridCol w:w="873"/>
        <w:gridCol w:w="75"/>
      </w:tblGrid>
      <w:tr>
        <w:trPr/>
        <w:tc>
          <w:tcPr>
            <w:tcW w:w="33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9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w:t>
              <w:br/>
              <w:t>Common</w:t>
              <w:br/>
              <w:t>Stock Being</w:t>
              <w:br/>
              <w:t>Registered</w:t>
              <w:br/>
              <w:t>Pursuant</w:t>
              <w:br/>
              <w:t>to this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of</w:t>
              <w:br/>
              <w:t>Common</w:t>
              <w:br/>
              <w:t>Stock Held</w:t>
              <w:br/>
              <w:t>After this</w:t>
            </w:r>
          </w:p>
        </w:tc>
        <w:tc>
          <w:tcPr>
            <w:tcW w:w="75" w:type="dxa"/>
            <w:tcBorders/>
            <w:vAlign w:val="center"/>
          </w:tcPr>
          <w:p>
            <w:pPr>
              <w:pStyle w:val="TableContents"/>
              <w:bidi w:val="0"/>
              <w:spacing w:before="0" w:after="283"/>
              <w:jc w:val="left"/>
              <w:rPr/>
            </w:pPr>
            <w:r>
              <w:rPr/>
              <w:t> </w:t>
            </w:r>
          </w:p>
        </w:tc>
      </w:tr>
      <w:tr>
        <w:trPr/>
        <w:tc>
          <w:tcPr>
            <w:tcW w:w="33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 </w:t>
            </w:r>
            <w:r>
              <w:rPr>
                <w:rFonts w:ascii="Times New Roman;Times;Serif" w:hAnsi="Times New Roman;Times;Serif"/>
                <w:b/>
                <w:position w:val="7"/>
                <w:sz w:val="16"/>
                <w:sz w:val="20"/>
              </w:rPr>
              <w:t>(1)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Offering</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Revere Securities  LLC</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800,000</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Vervetria Investments Ltd. </w:t>
            </w:r>
            <w:r>
              <w:rPr>
                <w:rFonts w:ascii="Times New Roman;Times;Serif" w:hAnsi="Times New Roman;Times;Serif"/>
                <w:i/>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Sunflower Marketing LLC </w:t>
            </w:r>
            <w:r>
              <w:rPr>
                <w:rFonts w:ascii="Times New Roman;Times;Serif" w:hAnsi="Times New Roman;Times;Serif"/>
                <w:i/>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Dalmasia Ltd </w:t>
            </w:r>
            <w:r>
              <w:rPr>
                <w:rFonts w:ascii="Times New Roman;Times;Serif" w:hAnsi="Times New Roman;Times;Serif"/>
                <w:i/>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1,125,000</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Pacific Design Studio LLC</w:t>
            </w:r>
            <w:r>
              <w:rPr>
                <w:rFonts w:ascii="Times New Roman;Times;Serif" w:hAnsi="Times New Roman;Times;Serif"/>
                <w:i/>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Worldwide Acquisitions LLC</w:t>
            </w:r>
            <w:r>
              <w:rPr>
                <w:rFonts w:ascii="Times New Roman;Times;Serif" w:hAnsi="Times New Roman;Times;Serif"/>
                <w:i/>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960,000</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Eric Lembcke</w:t>
            </w:r>
            <w:r>
              <w:rPr>
                <w:rFonts w:ascii="Times New Roman;Times;Serif" w:hAnsi="Times New Roman;Times;Serif"/>
                <w:i/>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961"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calculation of percentage held is based on a fully diluted number shares of common stock of 98,498,019 including full exercise of the outstanding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100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On June 3, 2026 the Company entered into an agreement with Revere Securities LLC (“Revere”) pursuant to which we agreed to issue to Revere 700,000 shares of common stock pursuant to the following schedule; (i) 50,000 shares on the Effective Date, (ii) 50,000 shares 30 days after the Effective Date, (iii) 100,000 shares 60 days after the Effective Date, (iv) 75,000 shares 120 days after the Effective Date, (v) 75,000 shares 150 days after the Effective Date, (vi) 50,000 shares 180 days after the Effective Date, 50,000 shares 210 days after the Effective Date, (viii) 50,000 shares 240 days after the Effective Date, (ix) 50,000 shares 270 days after the Effective Date, (x) 50,000 shares 300 days after the Effective Date and (xi) 100,000 shares 330 days after the Effective Date. There are no conditions to our issuance of the 700,000 shares other than the effectiveness of this registration statement. Further, any of the 700,000 shares not yet issued to Revere shall immediately be issued upon the earliest of any: (i) a change of control, (ii) delisting of our common stock from Nasdaq (or any successor national securities exchange), (iii) failure to maintain our eligibility with our transfer agent and any applicable clearing systems (including DTC) such that the shares cannot be freely transferred when eligible or (iv) our material breach of the agreement. Bill Moreno of Revere has voting and investment control over the shares held by Revere and may be deemed to be the beneficial owner of such shares. Mr. Moreno, however, disclaims any beneficial ownership of the Company’s securities reported herein except to the extent of his pecuniary interest, if any, therein. Except for such agreement and ownership of the shares, and its services as our advisor for our January 2026 direct listing, Revere has not had any material relationship with the Company within the past three years. The business address of Revere is 560 Lexington Avenue, Suite 16B, New York, New York, 10022.</w:t>
            </w:r>
          </w:p>
        </w:tc>
      </w:tr>
      <w:tr>
        <w:trPr/>
        <w:tc>
          <w:tcPr>
            <w:tcW w:w="203"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100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On or about June 9, 2026, the Company entered into a service agreement (the “Vervetria Service Agreement”) with Vervetria Investments Ltd. (“Vervetria”), pursuant to which Vervetria agreed to provide strategic advisory, business development, partnership origination, and market-expansion services in connection with the Company’s growth and accelerated deployment within the European Union. The shares were issued as compensation under the service agreement. Andres Eracleous of Vervetria, has voting and investment control over the shares held by Vervetria and may be deemed to be the beneficial owner of such shares. Mr. Eracleous, however, disclaims any beneficial ownership of the Company’s securities reported herein except to the extent of her pecuniary interest, if any, therein. Except for such service relationship and ownership of the shares, Vervetria has not had any material relationship with the Company within the past three years. The business address of Vervetria is Arch. Makariou III, 214, Ideal Building, Floor 2, Flat/Office 201, 3030, Limassol, Cyprus.</w:t>
            </w:r>
          </w:p>
        </w:tc>
      </w:tr>
      <w:tr>
        <w:trPr/>
        <w:tc>
          <w:tcPr>
            <w:tcW w:w="203"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100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On or about June 9, 2026, the Company entered into a service agreement (the “Sunflower Service    Agreement”) with Sunflower Marketing LLC (“Sunflower”), pursuant to which Sunflower agreed to provide strategic marketing, business development, and market expansion services within the global education vertical. The shares were issued as compensation under the service agreement. Rachel Gabriel of Sunflower, has voting and investment control over the shares held by Sunflower and may be deemed to be the beneficial owner of such shares. Ms. Gabriel, however, disclaims any beneficial ownership of the Company’s securities reported herein except to the extent of her pecuniary interest, if any, therein. Except for such service relationship and ownership of the shares, Sunflower has not had any material relationship with the Company within the past three years. The business address of Sunflower is 43 W. 46</w:t>
            </w:r>
            <w:r>
              <w:rPr>
                <w:rFonts w:ascii="Times New Roman;Times;Serif" w:hAnsi="Times New Roman;Times;Serif"/>
                <w:i/>
                <w:position w:val="7"/>
                <w:sz w:val="16"/>
                <w:sz w:val="20"/>
              </w:rPr>
              <w:t>th</w:t>
            </w:r>
            <w:r>
              <w:rPr>
                <w:rFonts w:ascii="Times New Roman;Times;Serif" w:hAnsi="Times New Roman;Times;Serif"/>
                <w:i/>
                <w:sz w:val="20"/>
              </w:rPr>
              <w:t xml:space="preserve"> Street, Floor 3, New York, NY 10036.</w:t>
            </w:r>
          </w:p>
        </w:tc>
      </w:tr>
      <w:tr>
        <w:trPr/>
        <w:tc>
          <w:tcPr>
            <w:tcW w:w="203"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w:t>
            </w:r>
          </w:p>
        </w:tc>
        <w:tc>
          <w:tcPr>
            <w:tcW w:w="100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On or about June 9, 2026, the Company entered into a service agreement (the “Dalmasia Service Agreement”) with Dalmasia Ltd (“Dalmasia”), pursuant to which Dalmasia agreed to provide strategic advisory, business development, and operational expansion services. The shares were issued as compensation under the service agreement. Andreas Eracleous of Dalmasia, has voting and investment control over the shares held by Dalmasia and may be deemed to be the beneficial owner of such shares. Mr. Eracleous, however, disclaims any beneficial ownership of the Company’s securities reported herein except to the extent of his pecuniary interest, if any, therein. Except for such service relationship and ownership of the shares, Dalmasia has not had any material relationship with the Company within the past three years. The business address of Dalmasia is 214 Arch. Makariou III, IDEAL BUILDING, 2</w:t>
            </w:r>
            <w:r>
              <w:rPr>
                <w:rFonts w:ascii="Times New Roman;Times;Serif" w:hAnsi="Times New Roman;Times;Serif"/>
                <w:i/>
                <w:position w:val="7"/>
                <w:sz w:val="16"/>
                <w:sz w:val="20"/>
              </w:rPr>
              <w:t>nd</w:t>
            </w:r>
            <w:r>
              <w:rPr>
                <w:rFonts w:ascii="Times New Roman;Times;Serif" w:hAnsi="Times New Roman;Times;Serif"/>
                <w:i/>
                <w:sz w:val="20"/>
              </w:rPr>
              <w:t xml:space="preserve"> Floor, Office 201, Lemesos, Cyprus 3030.  </w:t>
            </w:r>
          </w:p>
        </w:tc>
      </w:tr>
      <w:tr>
        <w:trPr/>
        <w:tc>
          <w:tcPr>
            <w:tcW w:w="203"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left"/>
              <w:rPr/>
            </w:pPr>
            <w:r>
              <w:rPr/>
              <w:t> </w:t>
            </w:r>
          </w:p>
        </w:tc>
      </w:tr>
      <w:tr>
        <w:trPr/>
        <w:tc>
          <w:tcPr>
            <w:tcW w:w="2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(6)</w:t>
            </w:r>
          </w:p>
        </w:tc>
        <w:tc>
          <w:tcPr>
            <w:tcW w:w="100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On or about June 9, 2026, the Company entered into a service agreement (the “Pacific Design Service Agreement”) with Pacific Design Studio LLC (“Pacific Design”), pursuant to which Pacific Design agreed to provide design development, architectural, engineering, and technical drawing services The shares were issued as compensation under the service agreement. Michael Gardner of Pacific Design, has voting and investment control over the shares held by Pacific Design and may be deemed to be the beneficial owner of such shares. Mr. Gardner, however, disclaims any beneficial ownership of the Company’s securities reported herein except to the extent of his pecuniary interest, if any, therein. Except for such service relationship and ownership of the shares, Pacific Design has not had any material relationship with the Company within the past three years. The business address of Pacific Design is 1879 Whitney Mesa Drive, Henderson, Nevada 89014.</w:t>
            </w:r>
          </w:p>
        </w:tc>
      </w:tr>
      <w:tr>
        <w:trPr/>
        <w:tc>
          <w:tcPr>
            <w:tcW w:w="203"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(7)</w:t>
            </w:r>
          </w:p>
        </w:tc>
        <w:tc>
          <w:tcPr>
            <w:tcW w:w="100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 xml:space="preserve">On or about June 9, 2026, the Company entered into a service agreement (the “Worldwide Acquisitions Service Agreement”) with Worldwide Acquisitions LLC (“Worldwide Acquisitions”), pursuant to which Worldwide Acquisitions agreed to provide strategic advisory, business development, and solutions-architecture services. The shares were issued as compensation under the service agreement. Chris Makarm of Worldwide Acquisitions, has voting and investment control over the shares held by Worldwide Acquisitions and may be deemed to be the beneficial owner of such shares. Mr. Makarm, however, disclaims any beneficial ownership of the Company’s securities reported herein except to the extent of his pecuniary interest, if any, therein. Except for such service relationship and ownership of the shares, Worldwide Acquisitions has not had any material relationship with the Company within the past three years. The business address of Worldwide Acquisitions is 550 Mary Esther Cut Off NW, Suite 1, Fort Walton Beach, FL 32548. </w:t>
            </w:r>
          </w:p>
        </w:tc>
      </w:tr>
      <w:tr>
        <w:trPr/>
        <w:tc>
          <w:tcPr>
            <w:tcW w:w="203" w:type="dxa"/>
            <w:tcBorders/>
            <w:vAlign w:val="center"/>
          </w:tcPr>
          <w:p>
            <w:pPr>
              <w:pStyle w:val="TableContents"/>
              <w:bidi w:val="0"/>
              <w:spacing w:before="0" w:after="283"/>
              <w:jc w:val="left"/>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(8)</w:t>
            </w:r>
          </w:p>
        </w:tc>
        <w:tc>
          <w:tcPr>
            <w:tcW w:w="1000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Eric Lembcke received the shares being registered for resale pursuant to an agreement with the Company, dated November 6, 2025. The shares were issued as compensation under the agreement. Mr. Lembcke has voting and investment control over the shares held by him. Except for such relationship and ownership of the shares, Mr. Lembcke has not had any material relationship with the Company within the past three years. Mr. Lembcke’s mailing address is 6300 N. Sagewood Dr., Ste. H-613, Park City, Utah 84098.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d_015"/>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0" w:right="0" w:hanging="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effected after the date the registration statement of which this prospectus is a part is declared effective by the SEC;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the selling stockholders to sell a specified number of such shares at a stipulated price per share;</w:t>
            </w:r>
          </w:p>
        </w:tc>
      </w:tr>
    </w:tbl>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and</w:t>
            </w:r>
          </w:p>
        </w:tc>
      </w:tr>
    </w:tbl>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stockholders against liabilities, including liabilities under the Securities Act and state securities laws, relating to the registration of the shares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stockholders to use commercially reasonable efforts to cause the registration statement to become effective of which this prospectus constitutes a part effective and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d_016"/>
      <w:bookmarkEnd w:id="11"/>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common stock consists of 100,000,000 shares of common stock. As of the date of this Prospectus, there are 90,392,857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stockholders holding a majority of our voting power approved the filing of a Certificate of Amendment to increase the number of authorized common stock from 100,000,000 to 300,000,000 shares of common stock. We filed a Definitive Information Statement on Schedule 14C with the SEC on July 7, 2026, relating to this amendment. The increase in our authorized common stock will become legally effective upon the filing of a Certificate of Amendment with the Secretary of State of the State of Nevada, which we intend to file 20 calendar days after the mailing of our definitive information statement, or on or about July 20, 2026. Upon the effectiveness of that amendment, our authorized capital stock will consist of 300,000,000 shares of common stock. The shares of common stock being offered in this prospectus are fully covered by our currently authorized share pool, and this offering is not dependent upon the effectiveness of the pending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the stockholders and have cumulative voting rights in the election of directors as provided under Nevada Revised Statutes Section 78.360. All outstanding shares of common stock are fully paid and non-assessable as provided under Nevada Revised Statutes Section 78.211, and the shares of common stock to be issued upon completion of this offering will be fully paid and nonassessable. The holders of common stock have no preferences or rights of cumulative voting, conversion, pre-emptive or other subscription rights. There is no redemption or sinking fund provisions applicable to the common stock. In the event of any liquidation, dissolution or winding-up of our affairs pursuant to Nevada Revised Statutes Chapter 78, holders of common stock will be entitled to share ratably in any of our assets remaining after payment or provision for payment of all of our debts and obligations and after liquidation payments to holders of outstanding shares of preferred stock, if any, in accordance with their respective 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the Company established a Series B Preferred Stock (the “Series B Preferred”) and authorized an aggregate of 20,000,000 shares with a par value of $$0.001 per share. As of June 22, 2026, 3,943 shares of Series B Preferred Stock are issued and outstanding. Shares of Series B Preferred Stock have no voting rights and convert into 1 share of common stock of the Company for each share of Series B Stock at the sole discretion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established a Series C Super Voting Preferred Stock (the “Series C Preferred”) and authorized an aggregate of 100,000 shares with a par value of $0.001 per share. As of June 22, 2026, 100,000 shares of Series C Preferred are issued and outstanding. All shares of Series C Preferred are owned by SSO, LLC, which is controlled by the Company’s Chief Executive Officer. The Series C Preferred Stock shave no conversion rights and have voting rights equal to 1,000 votes per 1 share of 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present intention not to pay any cash dividends in the foreseeable future, but rather to reinvest earnings, if any, in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Effects of Certain Provisions of Our Certificate of Incorporation and Bylaws to Be in Effect Upon the Completion of This Offering Undesignated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our board of directors will have the ability to issue preferred stock with voting or other rights or preferences that could impede the success of any attempt to acquire control of us. These and other provisions may have the effect of deterring hostile takeovers or delaying changes in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which will be in effect upon the completion of this offering, will provide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Corporate Law Resulting from Our Reincorporation in Nevada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2025, we converted our Delaware incorporation and reincorporated in Nevada. Pursuant to that reincorporation, the rights of our stockholders are governed by the NRS and our Nevada Articles of Incorporation and Bylaws. Nevada law provides a strong statutory business-judgment presumption and broader liability protections for directors and officers than Delaware in several respects, which may make it more difficult for stockholders to prevail in litigation against our directors and officers. Nevada’s decisional law is also less developed than Delaware’s, which could increase uncertainty in the application of corporate law to our affairs. See “Risk Factors-Our reincorporation in Nevada will change the rights of our stockholders and may increase legal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Nevada Articles of Incorporation and Bylaws provide for the exculpation of and indemnification to directors and officers to the fullest extent permitted under the Nevada Revised Statutes (NRS), thereby affording robust protection mechanisms consistent with Nevada law. Cross-references to these provisions may be found in Part II, “Indemnification of Directors and Officers,” and Article VI of the Bylaws. With respect to stockholder rights and corporate records, material differences exist between Nevada and Delaware law, particularly concerning inspection rights and internal affairs doctrine; notably, recent 2025 amendments to the Delaware General Corporation Law (DGCL) have narrowed stockholder books-and-records rights and introduced retroactive limitations, while Nevada maintains a distinct statutory and case law framework. On matters of corporate governance, unless explicitly stated otherwise in the Nevada Articles, cumulative voting shall not apply, and our governing documents expressly disallow cumulative voting-requiring conforming amendments to the Bylaws. Additionally, we have designated Nevada courts as the exclusive forum for all internal corporate claims, and federal courts for claims arising under the Securities Act of 1933, subject to applicable enforceability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Written Consent;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from and after the date our current Chief Executive Officer ceases to beneficially own at least 40% of the voting power of our outstanding common stock (the “Trigger Date”), our stockholders may not act by written consent, which may lengthen the amount of time required to take stockholder actions. As a result, following the Trigger Date, a holder controlling a majority of our common stock would not be able to amend our bylaws or remove directors without holding a meeting of our stockholders called in accordance with our bylaws. In addition, our articles of incorporation provide that, from and after the Trigger Date, special meetings of the stockholders may be called by the chairperson of our board of directors, our Chief Executive Officer, our board of directors, or by stockholders representing at least 10% of the voting power as permitted under NRS 78.310. Following the Trigger Date, stockholders may not call a special meeting of stockholders, which may delay the ability of our stockholders to force consideration of a proposal or for holders controlling a majority of our common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stockholder nomination of candidates for election as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directors may be removed from office, with or without cause, by the affirmative vote of stockholders holding at least two-thirds of the voting power of our outstanding common stock, consistent with NRS 78.335. Prior to the Trigger Date, directors may be removed with or without cause by the affirmative vote of at least a majority of the voting power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stockholders will not have cumulative voting rights, stockholders holding a majority of the voting power of the common stock outstanding will be able to elect all of our directors. The absence of cumulative voting makes it more difficult for a minority stockholder to nominate and elect a director to our board of directors in order to influence our board of directors’ decision regarding a takeover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Charter and Bylaw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following the Trigger Date, the amendment of certain of the provisions of our certificate of incorporation described in this prospectus will require approval by holders of at least two-thirds of the voting power of our outstanding common stock. Our articles of incorporation provide that our board of directors may from time to time adopt, amend, alter, or repeal our bylaws without stockholder approval. The stockholders may adopt, amend, alter, or repeal our bylaws by the affirmative vote of a majority of the voting power of our outstanding common stock (other than certain specified bylaws which, following the Trigger Date, will require the affirmative vote of two-thirds of our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will make it more difficult for another party to obtain control of us by replacing our board of directors. Because our board of directors has the power to retain and discharge our officers, these provisions could also make it more difficult for another party to effect a change in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that the state courts of Nevada will be the exclusive forum for: (i) any derivative action or proceeding brought on our behalf; (ii) any action asserting a breach of fiduciary duty; (iii) any action asserting a claim against us arising under the Nevada Revised Statutes; (iv) any action regarding our articles of incorporation or our bylaws; or (v) any action asserting a claim against us that is governed by the internal affairs doctrine. This provision would not apply to suits brought to enforce a duty or liability created by the Exchange Act or any other claim for which the U.S. federal courts have exclusive jurisdiction. These provisions will provide that, unless we consent in writing to the selection of an alternative forum, the federal district courts of the United States will be the exclusive forum for the resolution of any complaint asserting a cause of action arising under the Securities Act, subject to and contingent upon a final adjudication in the State of Nevada of the enforceability of such exclusive-forum provision. Any person or entity purchasing or otherwise acquiring any interest in shares of our capital stock will be deemed to have notice of, and consented to, the forum provisions in our Amended and Restated Bylaws. However, it is possible that a court could find our forum selection provisions to be inapplicable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Revised Statutes authorize corporations to limit or eliminate the personal liability of directors or officers to corporations and their stockholders for monetary damages for breaches of directors’ or officers’ fiduciary duties, subject to certain exceptions. Our articles of incorporation include a provision that eliminates the personal liability of directors and officers for monetary damages for any breach of fiduciary duty as a director or officer, respectively, except to the extent such exemption from liability or limitation thereof is not permitted under the Nevada Revised Statutes. The effect of these provisions will be to eliminate the rights of us and our stockholders, through stockholders’ derivative suits on our behalf, to recover monetary damages from a director or officer for breach of fiduciary duty as a director or officer, respectively, including breaches resulting from grossly negligent behavior. However, exculpation will not apply to any director or officer if the director or officer has acted in bad faith, knowingly or intentionally violated the law, authorized illegal dividends or redemptions, or derived an improper benefit from his or her actions as a director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we must indemnify and advance expenses to our directors and officers to the fullest extent authorized by the Nevada Revised Statutes. We also will be expressly authorized to carry directors’ and officers’ liability insurance providing indemnification for our directors, officers, and certain employees for some liabilities. We believe that these indemnification and advancement provisions and insurance will be useful to attract and retain qualified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indemnification, and advancement provisions that will be included in our articles of incorporation and bylaws may discourage stockholders from bringing a lawsuit against directors for breaches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pending material litigation or proceeding involving any of our directors, officers, or employees for which indemnification is sought.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and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405,092 warrants to purchase common stock at a price of $4.32, 7,700,000 warrants to purchase common stock at a price of $2.45 per share with a cashless exercise, and 385,000 warrants to purchase common stock at a price of $2.695 with no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VStock Transfer, LLC with an address of 18 Lafayette Place, Woodmere, NY 11598, and a phone number of (212) 828-8436.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d_017"/>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registered by us under this prospectus will be passed upon for us by Sichenzia Ross Ference Carmel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d_018"/>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2024, incorporated by reference in this prospectus, have been audited by Rosenberg Rich Baker Berman, P.A., an independent registered public accounting firm, as stated in their report, which includes an explanatory paragraph as to the Company’s ability to continue as a going concern, and are incorporated herein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VenHub Global, Inc. as of and for the year ended December 31, 2025, incorporated by reference in this prospectus, have been audited by Bush &amp; Associates CPA LLC, an independent registered public accounting firm, as stated in their report, which includes an explanatory paragraph as to the Company’s ability to continue as a going concern, and are incorporated by reference in reliance upon such report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2025, we received notice from Rosenberg Rich Baker Berman, P.A. (“RRBB”) our independent registered public accounting firm, that they no longer will be our auditors moving forward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RRBB’s report of independent registered public accounting firm dated March 28, 2025, except for the effects of the restatement and revisions discussed in Note 2 to the consolidated financial statements to which the date is September 9, 2025, on the VenHub Global Inc.’s consolidated balance sheet as of December 31, 2024 and 2023 and the related consolidated statements of operations, stockholders’ equity, and cash flows for the year ended December 31, 2024 and for the period January 31, 2023 (inception) through December 31, 2023, and the related notes collectively referred to as the financial statements, did not contain any adverse opinion or disclaimer of opinion, and were not qualified or modified as to uncertainties, audit scope or accounting principles, except for an explanatory paragraph in such report regarding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January 31, 2023 (VenHub Global Inc.’s inception) through December 31, 2024 and the subsequent interim period through May 9, 2025, there were no “disagreements” (as such term is defined in Item 304(a)(1)(iv) of Regulation S-K) with RRBB on any matter of accounting principles or practices, financial statement disclosure, or auditing scope or procedures, which disagreements, if not resolved to the satisfaction of RRBB, would have caused RRBB to make reference thereto in its reports on VenHub Global Inc’s financial statements for such periods. During the period from January 31, 2023 (VenHub Global Inc’s inception) through December 31, 2024 and the subsequent interim period through May 9, 2025, there have been no “reportable events” (as such term is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RRBB with a copy of the foregoing disclosures and requested that RRBB furnish us with a letter addressed to the SEC stating whether it agrees with the above statements and, if not, stating the respects in which it does not agree. A copy of the letter from RRBB dated September 30, 2025, is filed as Exhibit 16.1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2025, the Company approved the engagement of Bush &amp; Associates CPA LLC (“Bush”) as our independent registered public accounting firm, effective upon the Auditor Change Effective Date. During the period from January 31, 2023 (VenHub Global Inc.’s inception) through December 31, 2024 and the subsequent interim period through May 9, 2025, neither we, nor anyone acting on our behalf, consulted with Bush regarding the application of accounting principles to a specified transaction (either completed or proposed), the type of audit opinion that might be rendered on our financial statements, or any matter that was either the subject of a “disagreement,” as defined in Item 304(a)(1)(iv) of Regulation S-K, or a “reportable event,” as defined in Item 304(a)(1)(v)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d_019"/>
      <w:bookmarkEnd w:id="14"/>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that have previously been filed with the SEC:</w:t>
      </w:r>
    </w:p>
    <w:p>
      <w:pPr>
        <w:pStyle w:val="TextBody"/>
        <w:bidi w:val="0"/>
        <w:spacing w:before="0" w:after="0"/>
        <w:ind w:left="0" w:right="0" w:hanging="0"/>
        <w:jc w:val="left"/>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5">
              <w:r>
                <w:rPr>
                  <w:rStyle w:val="InternetLink"/>
                  <w:rFonts w:ascii="Times New Roman;Times;Serif" w:hAnsi="Times New Roman;Times;Serif"/>
                  <w:sz w:val="20"/>
                </w:rPr>
                <w:t>Form 10-K</w:t>
              </w:r>
            </w:hyperlink>
            <w:r>
              <w:rPr>
                <w:rFonts w:ascii="Times New Roman;Times;Serif" w:hAnsi="Times New Roman;Times;Serif"/>
                <w:sz w:val="20"/>
              </w:rPr>
              <w:t xml:space="preserve"> for the fiscal year ended December 31, 2025, filed with the SEC on March 24,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w:t>
            </w:r>
            <w:hyperlink r:id="rId6">
              <w:r>
                <w:rPr>
                  <w:rStyle w:val="InternetLink"/>
                  <w:rFonts w:ascii="Times New Roman;Times;Serif" w:hAnsi="Times New Roman;Times;Serif"/>
                  <w:sz w:val="20"/>
                </w:rPr>
                <w:t>Form 10-Q</w:t>
              </w:r>
            </w:hyperlink>
            <w:r>
              <w:rPr>
                <w:rFonts w:ascii="Times New Roman;Times;Serif" w:hAnsi="Times New Roman;Times;Serif"/>
                <w:sz w:val="20"/>
              </w:rPr>
              <w:t xml:space="preserve"> for the quarter ended March 31, 2026, filed with the SEC on May 12, 2026;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rFonts w:ascii="Times New Roman;Times;Serif" w:hAnsi="Times New Roman;Times;Serif"/>
                <w:sz w:val="20"/>
              </w:rPr>
              <w:t xml:space="preserve">Our Current Reports on Form 8-K filed with the SEC on </w:t>
            </w:r>
            <w:hyperlink r:id="rId7">
              <w:r>
                <w:rPr>
                  <w:rStyle w:val="InternetLink"/>
                  <w:rFonts w:ascii="Times New Roman;Times;Serif" w:hAnsi="Times New Roman;Times;Serif"/>
                  <w:sz w:val="20"/>
                </w:rPr>
                <w:t>February 12,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February 24,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May 5,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May 21, 2026</w:t>
              </w:r>
            </w:hyperlink>
            <w:r>
              <w:rPr>
                <w:rFonts w:ascii="Times New Roman;Times;Serif" w:hAnsi="Times New Roman;Times;Serif"/>
                <w:sz w:val="20"/>
              </w:rPr>
              <w:t xml:space="preserve">, and </w:t>
            </w:r>
            <w:hyperlink r:id="rId11">
              <w:r>
                <w:rPr>
                  <w:rStyle w:val="InternetLink"/>
                  <w:rFonts w:ascii="Times New Roman;Times;Serif" w:hAnsi="Times New Roman;Times;Serif"/>
                  <w:sz w:val="20"/>
                </w:rPr>
                <w:t>June 9, 2026</w:t>
              </w:r>
            </w:hyperlink>
            <w:r>
              <w:rPr>
                <w:rFonts w:ascii="Times New Roman;Times;Serif" w:hAnsi="Times New Roman;Times;Serif"/>
                <w:sz w:val="20"/>
              </w:rPr>
              <w:t xml:space="preserve"> (other than any portions thereof deemed furnished and not filed); and</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common stock which is registered under Section 12 of the Exchange Act, in our registration statement </w:t>
            </w:r>
            <w:hyperlink r:id="rId12">
              <w:r>
                <w:rPr>
                  <w:rStyle w:val="InternetLink"/>
                  <w:rFonts w:ascii="Times New Roman;Times;Serif" w:hAnsi="Times New Roman;Times;Serif"/>
                  <w:sz w:val="20"/>
                </w:rPr>
                <w:t>Form 8-A</w:t>
              </w:r>
            </w:hyperlink>
            <w:r>
              <w:rPr>
                <w:rFonts w:ascii="Times New Roman;Times;Serif" w:hAnsi="Times New Roman;Times;Serif"/>
                <w:sz w:val="20"/>
              </w:rPr>
              <w:t>, filed on January 27, 2026, including any amendment or reports filed for the purposes of updating this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the initial registration statement of which this prospectus is a part and prior to the effectiveness of such registration statement and all documents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in writing or by telephone at VenHub Global, Inc., 5360 Procyon Street, Las Vegas, NV 89118. Our telephone number is (888) 585-4999.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d_020"/>
      <w:bookmarkEnd w:id="15"/>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for the securities offered by this prospectus. This prospectus does not contain all of the information in the Registration Statement and the exhibits and schedule that were filed with the registration statement. For further information with respect to us and our securities, we refer you to the registration statement and the exhibits and schedule that were filed with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under the Exchange Act, including annual quarterly and special reports, and other information with the SEC. These periodic reports and other information are available for inspection and copying on the website of the SEC referred to above. We make available free of charge on or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The information found on our website is not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0020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600200" cy="5048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VENHUB GLOBAL,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6,170,000 shares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972234/000121390026033427/ea0280137-10k_venhub.htm" TargetMode="External"/><Relationship Id="rId6" Type="http://schemas.openxmlformats.org/officeDocument/2006/relationships/hyperlink" Target="https://www.sec.gov/ix?doc=/Archives/edgar/data/1972234/000121390026054651/ea0287747-10q_ven.htm" TargetMode="External"/><Relationship Id="rId7" Type="http://schemas.openxmlformats.org/officeDocument/2006/relationships/hyperlink" Target="https://www.sec.gov/ix?doc=/Archives/edgar/data/1972234/000121390026015576/ea0276752-8k_venhub.htm" TargetMode="External"/><Relationship Id="rId8" Type="http://schemas.openxmlformats.org/officeDocument/2006/relationships/hyperlink" Target="https://www.sec.gov/ix?doc=/Archives/edgar/data/1972234/000121390026019971/ea0278081-8k_venhub.htm" TargetMode="External"/><Relationship Id="rId9" Type="http://schemas.openxmlformats.org/officeDocument/2006/relationships/hyperlink" Target="https://www.sec.gov/ix?doc=/Archives/edgar/data/1972234/000121390026052314/ea0289279-8k_venhub.htm" TargetMode="External"/><Relationship Id="rId10" Type="http://schemas.openxmlformats.org/officeDocument/2006/relationships/hyperlink" Target="https://www.sec.gov/ix?doc=/Archives/edgar/data/1972234/000121390026060115/ea0291933-8k_venhub.htm" TargetMode="External"/><Relationship Id="rId11" Type="http://schemas.openxmlformats.org/officeDocument/2006/relationships/hyperlink" Target="https://www.sec.gov/ix?doc=/Archives/edgar/data/1972234/000121390026066860/ea0294118-8k_venhub.htm" TargetMode="External"/><Relationship Id="rId12" Type="http://schemas.openxmlformats.org/officeDocument/2006/relationships/hyperlink" Target="https://www.sec.gov/Archives/edgar/data/1972234/000121390026008320/ea0274341-8a12b_venhub.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13430</Words>
  <Characters>73010</Characters>
  <CharactersWithSpaces>86518</CharactersWithSpaces>
  <Paragraphs>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