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970-10q_venhub.htm"/>
      <w:bookmarkStart w:id="1" w:name="ksea029997010q_venhub"/>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QUARTERLY REPORT 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June 30,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TRANSITION REPORT 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001-43082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VenHub Global,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283"/>
              <w:jc w:val="center"/>
              <w:rPr>
                <w:sz w:val="20"/>
              </w:rPr>
            </w:pPr>
            <w:r>
              <w:rPr>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r>
              <w:rPr>
                <w:sz w:val="20"/>
              </w:rPr>
              <w:t>92-2083580</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r>
          </w:p>
        </w:tc>
      </w:tr>
      <w:tr>
        <w:trPr/>
        <w:tc>
          <w:tcPr>
            <w:tcW w:w="2495" w:type="dxa"/>
            <w:tcBorders/>
            <w:tcMar>
              <w:bottom w:w="0" w:type="dxa"/>
            </w:tcMar>
            <w:vAlign w:val="center"/>
          </w:tcPr>
          <w:p>
            <w:pPr>
              <w:pStyle w:val="TableContents"/>
              <w:bidi w:val="0"/>
              <w:spacing w:before="0" w:after="283"/>
              <w:jc w:val="center"/>
              <w:rPr>
                <w:sz w:val="20"/>
              </w:rPr>
            </w:pPr>
            <w:r>
              <w:rPr>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5360 Procyon Street</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Las Vegas, NV 89118</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u w:val="single"/>
        </w:rPr>
        <w:t>(888) 585-4999</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6780" w:type="dxa"/>
        <w:jc w:val="left"/>
        <w:tblInd w:w="0" w:type="dxa"/>
        <w:tblLayout w:type="fixed"/>
        <w:tblCellMar>
          <w:top w:w="0" w:type="dxa"/>
          <w:left w:w="0" w:type="dxa"/>
          <w:bottom w:w="28" w:type="dxa"/>
          <w:right w:w="0" w:type="dxa"/>
        </w:tblCellMar>
      </w:tblPr>
      <w:tblGrid>
        <w:gridCol w:w="1535"/>
        <w:gridCol w:w="60"/>
        <w:gridCol w:w="1415"/>
        <w:gridCol w:w="60"/>
        <w:gridCol w:w="3710"/>
      </w:tblGrid>
      <w:tr>
        <w:trPr/>
        <w:tc>
          <w:tcPr>
            <w:tcW w:w="1535"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shd w:fill="CCEEFF" w:val="clear"/>
            <w:tcMar>
              <w:bottom w:w="0" w:type="dxa"/>
            </w:tcMar>
            <w:vAlign w:val="center"/>
          </w:tcPr>
          <w:p>
            <w:pPr>
              <w:pStyle w:val="TableContents"/>
              <w:bidi w:val="0"/>
              <w:spacing w:before="0" w:after="283"/>
              <w:jc w:val="center"/>
              <w:rPr>
                <w:sz w:val="20"/>
              </w:rPr>
            </w:pPr>
            <w:r>
              <w:rPr>
                <w:sz w:val="20"/>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r>
              <w:rPr>
                <w:sz w:val="20"/>
              </w:rPr>
              <w:t>VHUB</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Exchange Act: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23,247,669 shares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 Yes ☒ No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 Yes ☒ No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 accelerated filer, or a smaller reporting company. See the definitions of “large accelerated filer”, “accelerated filer”, “non-accelerated filer”, “smaller reporting company” and “emerging growth” in Rule 12b-2 of the Exchange Act.</w:t>
      </w:r>
    </w:p>
    <w:p>
      <w:pPr>
        <w:pStyle w:val="TextBody"/>
        <w:bidi w:val="0"/>
        <w:spacing w:before="0" w:after="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105"/>
        <w:gridCol w:w="2465"/>
      </w:tblGrid>
      <w:tr>
        <w:trPr/>
        <w:tc>
          <w:tcPr>
            <w:tcW w:w="2105" w:type="dxa"/>
            <w:tcBorders/>
            <w:vAlign w:val="center"/>
          </w:tcPr>
          <w:p>
            <w:pPr>
              <w:pStyle w:val="TableContents"/>
              <w:bidi w:val="0"/>
              <w:spacing w:before="0" w:after="283"/>
              <w:jc w:val="left"/>
              <w:rPr>
                <w:sz w:val="20"/>
              </w:rPr>
            </w:pPr>
            <w:r>
              <w:rPr>
                <w:sz w:val="20"/>
              </w:rPr>
              <w:t>Large Accelerated filer ☐</w:t>
            </w:r>
          </w:p>
        </w:tc>
        <w:tc>
          <w:tcPr>
            <w:tcW w:w="2465" w:type="dxa"/>
            <w:tcBorders/>
            <w:vAlign w:val="center"/>
          </w:tcPr>
          <w:p>
            <w:pPr>
              <w:pStyle w:val="TableContents"/>
              <w:bidi w:val="0"/>
              <w:spacing w:before="0" w:after="283"/>
              <w:jc w:val="left"/>
              <w:rPr>
                <w:sz w:val="20"/>
              </w:rPr>
            </w:pPr>
            <w:r>
              <w:rPr>
                <w:sz w:val="20"/>
              </w:rPr>
              <w:t>Accelerated filer ☐</w:t>
            </w:r>
          </w:p>
        </w:tc>
      </w:tr>
      <w:tr>
        <w:trPr/>
        <w:tc>
          <w:tcPr>
            <w:tcW w:w="2105" w:type="dxa"/>
            <w:tcBorders/>
            <w:vAlign w:val="center"/>
          </w:tcPr>
          <w:p>
            <w:pPr>
              <w:pStyle w:val="TableContents"/>
              <w:bidi w:val="0"/>
              <w:spacing w:before="0" w:after="283"/>
              <w:jc w:val="left"/>
              <w:rPr>
                <w:sz w:val="20"/>
              </w:rPr>
            </w:pPr>
            <w:r>
              <w:rPr>
                <w:sz w:val="20"/>
              </w:rPr>
              <w:t>Non-accelerated filer ☒</w:t>
            </w:r>
          </w:p>
        </w:tc>
        <w:tc>
          <w:tcPr>
            <w:tcW w:w="2465" w:type="dxa"/>
            <w:tcBorders/>
            <w:vAlign w:val="center"/>
          </w:tcPr>
          <w:p>
            <w:pPr>
              <w:pStyle w:val="TableContents"/>
              <w:bidi w:val="0"/>
              <w:spacing w:before="0" w:after="283"/>
              <w:jc w:val="left"/>
              <w:rPr>
                <w:sz w:val="20"/>
              </w:rPr>
            </w:pPr>
            <w:r>
              <w:rPr>
                <w:sz w:val="20"/>
              </w:rPr>
              <w:t>Smaller reporting company ☒</w:t>
            </w:r>
          </w:p>
        </w:tc>
      </w:tr>
      <w:tr>
        <w:trPr/>
        <w:tc>
          <w:tcPr>
            <w:tcW w:w="210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 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the Registrant’s common stock, $0.001 par value per share, outstanding as of August 11, 2026 was 91,392,857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725"/>
        <w:gridCol w:w="7280"/>
        <w:gridCol w:w="455"/>
      </w:tblGrid>
      <w:tr>
        <w:trPr/>
        <w:tc>
          <w:tcPr>
            <w:tcW w:w="8005" w:type="dxa"/>
            <w:gridSpan w:val="2"/>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2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center"/>
              <w:rPr/>
            </w:pPr>
            <w:r>
              <w:rPr/>
              <w:t> </w:t>
            </w:r>
          </w:p>
        </w:tc>
        <w:tc>
          <w:tcPr>
            <w:tcW w:w="455" w:type="dxa"/>
            <w:tcBorders/>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Item 1.</w:t>
            </w:r>
          </w:p>
        </w:tc>
        <w:tc>
          <w:tcPr>
            <w:tcW w:w="7280" w:type="dxa"/>
            <w:tcBorders/>
            <w:shd w:fill="CCEEFF" w:val="clear"/>
            <w:vAlign w:val="center"/>
          </w:tcPr>
          <w:p>
            <w:pPr>
              <w:pStyle w:val="TableContents"/>
              <w:bidi w:val="0"/>
              <w:spacing w:before="0" w:after="283"/>
              <w:jc w:val="left"/>
              <w:rPr/>
            </w:pPr>
            <w:hyperlink w:anchor="a_001">
              <w:r>
                <w:rPr>
                  <w:rStyle w:val="InternetLink"/>
                  <w:sz w:val="20"/>
                </w:rPr>
                <w:t>Financial Statements</w:t>
              </w:r>
            </w:hyperlink>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725" w:type="dxa"/>
            <w:tcBorders/>
            <w:shd w:fill="FFFFFF" w:val="clear"/>
            <w:vAlign w:val="center"/>
          </w:tcPr>
          <w:p>
            <w:pPr>
              <w:pStyle w:val="TableContents"/>
              <w:bidi w:val="0"/>
              <w:spacing w:before="0" w:after="283"/>
              <w:jc w:val="left"/>
              <w:rPr>
                <w:sz w:val="20"/>
              </w:rPr>
            </w:pPr>
            <w:r>
              <w:rPr>
                <w:sz w:val="20"/>
              </w:rPr>
              <w:t>Item 2.</w:t>
            </w:r>
          </w:p>
        </w:tc>
        <w:tc>
          <w:tcPr>
            <w:tcW w:w="7280" w:type="dxa"/>
            <w:tcBorders/>
            <w:shd w:fill="FFFFFF" w:val="clear"/>
            <w:vAlign w:val="center"/>
          </w:tcPr>
          <w:p>
            <w:pPr>
              <w:pStyle w:val="TableContents"/>
              <w:bidi w:val="0"/>
              <w:spacing w:before="0" w:after="283"/>
              <w:jc w:val="left"/>
              <w:rPr/>
            </w:pPr>
            <w:hyperlink w:anchor="a_002">
              <w:r>
                <w:rPr>
                  <w:rStyle w:val="InternetLink"/>
                  <w:sz w:val="20"/>
                </w:rPr>
                <w:t>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center"/>
              <w:rPr>
                <w:sz w:val="20"/>
              </w:rPr>
            </w:pPr>
            <w:r>
              <w:rPr>
                <w:sz w:val="20"/>
              </w:rPr>
              <w:t>2</w:t>
            </w:r>
          </w:p>
        </w:tc>
      </w:tr>
      <w:tr>
        <w:trPr/>
        <w:tc>
          <w:tcPr>
            <w:tcW w:w="725"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03">
              <w:r>
                <w:rPr>
                  <w:rStyle w:val="InternetLink"/>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sz w:val="20"/>
              </w:rPr>
            </w:pPr>
            <w:r>
              <w:rPr>
                <w:sz w:val="20"/>
              </w:rPr>
              <w:t>11</w:t>
            </w:r>
          </w:p>
        </w:tc>
      </w:tr>
      <w:tr>
        <w:trPr/>
        <w:tc>
          <w:tcPr>
            <w:tcW w:w="725" w:type="dxa"/>
            <w:tcBorders/>
            <w:shd w:fill="FFFFFF" w:val="clear"/>
            <w:vAlign w:val="center"/>
          </w:tcPr>
          <w:p>
            <w:pPr>
              <w:pStyle w:val="TableContents"/>
              <w:bidi w:val="0"/>
              <w:spacing w:before="0" w:after="283"/>
              <w:jc w:val="left"/>
              <w:rPr>
                <w:sz w:val="20"/>
              </w:rPr>
            </w:pPr>
            <w:r>
              <w:rPr>
                <w:sz w:val="20"/>
              </w:rPr>
              <w:t>Item 4.</w:t>
            </w:r>
          </w:p>
        </w:tc>
        <w:tc>
          <w:tcPr>
            <w:tcW w:w="7280" w:type="dxa"/>
            <w:tcBorders/>
            <w:shd w:fill="FFFFFF" w:val="clear"/>
            <w:vAlign w:val="center"/>
          </w:tcPr>
          <w:p>
            <w:pPr>
              <w:pStyle w:val="TableContents"/>
              <w:bidi w:val="0"/>
              <w:spacing w:before="0" w:after="283"/>
              <w:jc w:val="left"/>
              <w:rPr/>
            </w:pPr>
            <w:hyperlink w:anchor="a_004">
              <w:r>
                <w:rPr>
                  <w:rStyle w:val="InternetLink"/>
                  <w:sz w:val="20"/>
                </w:rPr>
                <w:t>Controls and Procedures</w:t>
              </w:r>
            </w:hyperlink>
          </w:p>
        </w:tc>
        <w:tc>
          <w:tcPr>
            <w:tcW w:w="455" w:type="dxa"/>
            <w:tcBorders/>
            <w:shd w:fill="FFFFFF" w:val="clear"/>
            <w:vAlign w:val="center"/>
          </w:tcPr>
          <w:p>
            <w:pPr>
              <w:pStyle w:val="TableContents"/>
              <w:bidi w:val="0"/>
              <w:spacing w:before="0" w:after="283"/>
              <w:jc w:val="center"/>
              <w:rPr>
                <w:sz w:val="20"/>
              </w:rPr>
            </w:pPr>
            <w:r>
              <w:rPr>
                <w:sz w:val="20"/>
              </w:rPr>
              <w:t>11</w:t>
            </w:r>
          </w:p>
        </w:tc>
      </w:tr>
      <w:tr>
        <w:trPr/>
        <w:tc>
          <w:tcPr>
            <w:tcW w:w="72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center"/>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pPr>
            <w:r>
              <w:rPr/>
              <w:t> </w:t>
            </w:r>
          </w:p>
        </w:tc>
        <w:tc>
          <w:tcPr>
            <w:tcW w:w="7280" w:type="dxa"/>
            <w:tcBorders/>
            <w:shd w:fill="FFFFFF" w:val="clear"/>
            <w:vAlign w:val="center"/>
          </w:tcPr>
          <w:p>
            <w:pPr>
              <w:pStyle w:val="TableContents"/>
              <w:bidi w:val="0"/>
              <w:spacing w:before="0" w:after="283"/>
              <w:jc w:val="center"/>
              <w:rPr/>
            </w:pPr>
            <w:hyperlink w:anchor="a_005">
              <w:r>
                <w:rPr>
                  <w:rStyle w:val="InternetLink"/>
                  <w:b/>
                  <w:sz w:val="20"/>
                </w:rPr>
                <w:t>PART II - OTHER INFORMATION</w:t>
              </w:r>
            </w:hyperlink>
          </w:p>
        </w:tc>
        <w:tc>
          <w:tcPr>
            <w:tcW w:w="455" w:type="dxa"/>
            <w:tcBorders/>
            <w:shd w:fill="FFFFFF" w:val="clear"/>
            <w:vAlign w:val="center"/>
          </w:tcPr>
          <w:p>
            <w:pPr>
              <w:pStyle w:val="TableContents"/>
              <w:bidi w:val="0"/>
              <w:spacing w:before="0" w:after="283"/>
              <w:jc w:val="center"/>
              <w:rPr>
                <w:sz w:val="20"/>
              </w:rPr>
            </w:pPr>
            <w:r>
              <w:rPr>
                <w:sz w:val="20"/>
              </w:rPr>
              <w:t>13</w:t>
            </w:r>
          </w:p>
        </w:tc>
      </w:tr>
      <w:tr>
        <w:trPr/>
        <w:tc>
          <w:tcPr>
            <w:tcW w:w="72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center"/>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Item 1.</w:t>
            </w:r>
          </w:p>
        </w:tc>
        <w:tc>
          <w:tcPr>
            <w:tcW w:w="7280" w:type="dxa"/>
            <w:tcBorders/>
            <w:shd w:fill="FFFFFF" w:val="clear"/>
            <w:vAlign w:val="center"/>
          </w:tcPr>
          <w:p>
            <w:pPr>
              <w:pStyle w:val="TableContents"/>
              <w:bidi w:val="0"/>
              <w:spacing w:before="0" w:after="283"/>
              <w:jc w:val="left"/>
              <w:rPr/>
            </w:pPr>
            <w:hyperlink w:anchor="a_006">
              <w:r>
                <w:rPr>
                  <w:rStyle w:val="InternetLink"/>
                  <w:sz w:val="20"/>
                </w:rPr>
                <w:t>Legal Proceedings</w:t>
              </w:r>
            </w:hyperlink>
          </w:p>
        </w:tc>
        <w:tc>
          <w:tcPr>
            <w:tcW w:w="455" w:type="dxa"/>
            <w:tcBorders/>
            <w:shd w:fill="FFFFFF" w:val="clear"/>
            <w:vAlign w:val="center"/>
          </w:tcPr>
          <w:p>
            <w:pPr>
              <w:pStyle w:val="TableContents"/>
              <w:bidi w:val="0"/>
              <w:spacing w:before="0" w:after="283"/>
              <w:jc w:val="center"/>
              <w:rPr>
                <w:sz w:val="20"/>
              </w:rPr>
            </w:pPr>
            <w:r>
              <w:rPr>
                <w:sz w:val="20"/>
              </w:rPr>
              <w:t>13</w:t>
            </w:r>
          </w:p>
        </w:tc>
      </w:tr>
      <w:tr>
        <w:trPr/>
        <w:tc>
          <w:tcPr>
            <w:tcW w:w="725" w:type="dxa"/>
            <w:tcBorders/>
            <w:shd w:fill="CCEEFF" w:val="clear"/>
            <w:vAlign w:val="center"/>
          </w:tcPr>
          <w:p>
            <w:pPr>
              <w:pStyle w:val="TableContents"/>
              <w:bidi w:val="0"/>
              <w:spacing w:before="0" w:after="283"/>
              <w:jc w:val="left"/>
              <w:rPr>
                <w:sz w:val="20"/>
              </w:rPr>
            </w:pPr>
            <w:r>
              <w:rPr>
                <w:sz w:val="20"/>
              </w:rPr>
              <w:t>Item 1A.</w:t>
            </w:r>
          </w:p>
        </w:tc>
        <w:tc>
          <w:tcPr>
            <w:tcW w:w="7280" w:type="dxa"/>
            <w:tcBorders/>
            <w:shd w:fill="CCEEFF" w:val="clear"/>
            <w:vAlign w:val="center"/>
          </w:tcPr>
          <w:p>
            <w:pPr>
              <w:pStyle w:val="TableContents"/>
              <w:bidi w:val="0"/>
              <w:spacing w:before="0" w:after="283"/>
              <w:jc w:val="left"/>
              <w:rPr/>
            </w:pPr>
            <w:hyperlink w:anchor="a_007">
              <w:r>
                <w:rPr>
                  <w:rStyle w:val="InternetLink"/>
                  <w:sz w:val="20"/>
                </w:rPr>
                <w:t>Risk Factors</w:t>
              </w:r>
            </w:hyperlink>
          </w:p>
        </w:tc>
        <w:tc>
          <w:tcPr>
            <w:tcW w:w="455" w:type="dxa"/>
            <w:tcBorders/>
            <w:shd w:fill="CCEEFF" w:val="clear"/>
            <w:vAlign w:val="center"/>
          </w:tcPr>
          <w:p>
            <w:pPr>
              <w:pStyle w:val="TableContents"/>
              <w:bidi w:val="0"/>
              <w:spacing w:before="0" w:after="283"/>
              <w:jc w:val="center"/>
              <w:rPr>
                <w:sz w:val="20"/>
              </w:rPr>
            </w:pPr>
            <w:r>
              <w:rPr>
                <w:sz w:val="20"/>
              </w:rPr>
              <w:t>13</w:t>
            </w:r>
          </w:p>
        </w:tc>
      </w:tr>
      <w:tr>
        <w:trPr/>
        <w:tc>
          <w:tcPr>
            <w:tcW w:w="725" w:type="dxa"/>
            <w:tcBorders/>
            <w:shd w:fill="FFFFFF" w:val="clear"/>
            <w:vAlign w:val="center"/>
          </w:tcPr>
          <w:p>
            <w:pPr>
              <w:pStyle w:val="TableContents"/>
              <w:bidi w:val="0"/>
              <w:spacing w:before="0" w:after="283"/>
              <w:jc w:val="left"/>
              <w:rPr>
                <w:sz w:val="20"/>
              </w:rPr>
            </w:pPr>
            <w:r>
              <w:rPr>
                <w:sz w:val="20"/>
              </w:rPr>
              <w:t>Item 2.</w:t>
            </w:r>
          </w:p>
        </w:tc>
        <w:tc>
          <w:tcPr>
            <w:tcW w:w="7280" w:type="dxa"/>
            <w:tcBorders/>
            <w:shd w:fill="FFFFFF" w:val="clear"/>
            <w:vAlign w:val="center"/>
          </w:tcPr>
          <w:p>
            <w:pPr>
              <w:pStyle w:val="TableContents"/>
              <w:bidi w:val="0"/>
              <w:spacing w:before="0" w:after="283"/>
              <w:jc w:val="left"/>
              <w:rPr/>
            </w:pPr>
            <w:hyperlink w:anchor="a_008">
              <w:r>
                <w:rPr>
                  <w:rStyle w:val="InternetLink"/>
                  <w:sz w:val="20"/>
                </w:rPr>
                <w:t>Unregistered Sales of Equity Securities and Use of Proceeds</w:t>
              </w:r>
            </w:hyperlink>
          </w:p>
        </w:tc>
        <w:tc>
          <w:tcPr>
            <w:tcW w:w="455" w:type="dxa"/>
            <w:tcBorders/>
            <w:shd w:fill="FFFFFF" w:val="clear"/>
            <w:vAlign w:val="center"/>
          </w:tcPr>
          <w:p>
            <w:pPr>
              <w:pStyle w:val="TableContents"/>
              <w:bidi w:val="0"/>
              <w:spacing w:before="0" w:after="283"/>
              <w:jc w:val="center"/>
              <w:rPr>
                <w:sz w:val="20"/>
              </w:rPr>
            </w:pPr>
            <w:r>
              <w:rPr>
                <w:sz w:val="20"/>
              </w:rPr>
              <w:t>13</w:t>
            </w:r>
          </w:p>
        </w:tc>
      </w:tr>
      <w:tr>
        <w:trPr/>
        <w:tc>
          <w:tcPr>
            <w:tcW w:w="725"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09">
              <w:r>
                <w:rPr>
                  <w:rStyle w:val="InternetLink"/>
                  <w:sz w:val="20"/>
                </w:rPr>
                <w:t>Defaults Upon Senior Securities</w:t>
              </w:r>
            </w:hyperlink>
          </w:p>
        </w:tc>
        <w:tc>
          <w:tcPr>
            <w:tcW w:w="455" w:type="dxa"/>
            <w:tcBorders/>
            <w:shd w:fill="CCEEFF" w:val="clear"/>
            <w:vAlign w:val="center"/>
          </w:tcPr>
          <w:p>
            <w:pPr>
              <w:pStyle w:val="TableContents"/>
              <w:bidi w:val="0"/>
              <w:spacing w:before="0" w:after="283"/>
              <w:jc w:val="center"/>
              <w:rPr>
                <w:sz w:val="20"/>
              </w:rPr>
            </w:pPr>
            <w:r>
              <w:rPr>
                <w:sz w:val="20"/>
              </w:rPr>
              <w:t>13</w:t>
            </w:r>
          </w:p>
        </w:tc>
      </w:tr>
      <w:tr>
        <w:trPr/>
        <w:tc>
          <w:tcPr>
            <w:tcW w:w="725" w:type="dxa"/>
            <w:tcBorders/>
            <w:shd w:fill="FFFFFF" w:val="clear"/>
            <w:vAlign w:val="center"/>
          </w:tcPr>
          <w:p>
            <w:pPr>
              <w:pStyle w:val="TableContents"/>
              <w:bidi w:val="0"/>
              <w:spacing w:before="0" w:after="283"/>
              <w:jc w:val="left"/>
              <w:rPr>
                <w:sz w:val="20"/>
              </w:rPr>
            </w:pPr>
            <w:r>
              <w:rPr>
                <w:sz w:val="20"/>
              </w:rPr>
              <w:t>Item 4.</w:t>
            </w:r>
          </w:p>
        </w:tc>
        <w:tc>
          <w:tcPr>
            <w:tcW w:w="7280" w:type="dxa"/>
            <w:tcBorders/>
            <w:shd w:fill="FFFFFF" w:val="clear"/>
            <w:vAlign w:val="center"/>
          </w:tcPr>
          <w:p>
            <w:pPr>
              <w:pStyle w:val="TableContents"/>
              <w:bidi w:val="0"/>
              <w:spacing w:before="0" w:after="283"/>
              <w:jc w:val="left"/>
              <w:rPr/>
            </w:pPr>
            <w:hyperlink w:anchor="a_010">
              <w:r>
                <w:rPr>
                  <w:rStyle w:val="InternetLink"/>
                  <w:sz w:val="20"/>
                </w:rPr>
                <w:t>Mine Safety Disclosures</w:t>
              </w:r>
            </w:hyperlink>
          </w:p>
        </w:tc>
        <w:tc>
          <w:tcPr>
            <w:tcW w:w="455" w:type="dxa"/>
            <w:tcBorders/>
            <w:shd w:fill="FFFFFF" w:val="clear"/>
            <w:vAlign w:val="center"/>
          </w:tcPr>
          <w:p>
            <w:pPr>
              <w:pStyle w:val="TableContents"/>
              <w:bidi w:val="0"/>
              <w:spacing w:before="0" w:after="283"/>
              <w:jc w:val="center"/>
              <w:rPr>
                <w:sz w:val="20"/>
              </w:rPr>
            </w:pPr>
            <w:r>
              <w:rPr>
                <w:sz w:val="20"/>
              </w:rPr>
              <w:t>13</w:t>
            </w:r>
          </w:p>
        </w:tc>
      </w:tr>
      <w:tr>
        <w:trPr/>
        <w:tc>
          <w:tcPr>
            <w:tcW w:w="725" w:type="dxa"/>
            <w:tcBorders/>
            <w:shd w:fill="CCEEFF" w:val="clear"/>
            <w:vAlign w:val="center"/>
          </w:tcPr>
          <w:p>
            <w:pPr>
              <w:pStyle w:val="TableContents"/>
              <w:bidi w:val="0"/>
              <w:spacing w:before="0" w:after="283"/>
              <w:jc w:val="left"/>
              <w:rPr>
                <w:sz w:val="20"/>
              </w:rPr>
            </w:pPr>
            <w:r>
              <w:rPr>
                <w:sz w:val="20"/>
              </w:rPr>
              <w:t>Item 5.</w:t>
            </w:r>
          </w:p>
        </w:tc>
        <w:tc>
          <w:tcPr>
            <w:tcW w:w="7280" w:type="dxa"/>
            <w:tcBorders/>
            <w:shd w:fill="CCEEFF" w:val="clear"/>
            <w:vAlign w:val="center"/>
          </w:tcPr>
          <w:p>
            <w:pPr>
              <w:pStyle w:val="TableContents"/>
              <w:bidi w:val="0"/>
              <w:spacing w:before="0" w:after="283"/>
              <w:jc w:val="left"/>
              <w:rPr/>
            </w:pPr>
            <w:hyperlink w:anchor="a_011">
              <w:r>
                <w:rPr>
                  <w:rStyle w:val="InternetLink"/>
                  <w:sz w:val="20"/>
                </w:rPr>
                <w:t>Other Information</w:t>
              </w:r>
            </w:hyperlink>
          </w:p>
        </w:tc>
        <w:tc>
          <w:tcPr>
            <w:tcW w:w="455" w:type="dxa"/>
            <w:tcBorders/>
            <w:shd w:fill="CCEEFF" w:val="clear"/>
            <w:vAlign w:val="center"/>
          </w:tcPr>
          <w:p>
            <w:pPr>
              <w:pStyle w:val="TableContents"/>
              <w:bidi w:val="0"/>
              <w:spacing w:before="0" w:after="283"/>
              <w:jc w:val="center"/>
              <w:rPr>
                <w:sz w:val="20"/>
              </w:rPr>
            </w:pPr>
            <w:r>
              <w:rPr>
                <w:sz w:val="20"/>
              </w:rPr>
              <w:t>13</w:t>
            </w:r>
          </w:p>
        </w:tc>
      </w:tr>
      <w:tr>
        <w:trPr/>
        <w:tc>
          <w:tcPr>
            <w:tcW w:w="725" w:type="dxa"/>
            <w:tcBorders/>
            <w:shd w:fill="FFFFFF" w:val="clear"/>
            <w:vAlign w:val="center"/>
          </w:tcPr>
          <w:p>
            <w:pPr>
              <w:pStyle w:val="TableContents"/>
              <w:bidi w:val="0"/>
              <w:spacing w:before="0" w:after="283"/>
              <w:jc w:val="left"/>
              <w:rPr>
                <w:sz w:val="20"/>
              </w:rPr>
            </w:pPr>
            <w:r>
              <w:rPr>
                <w:sz w:val="20"/>
              </w:rPr>
              <w:t>Item 6.</w:t>
            </w:r>
          </w:p>
        </w:tc>
        <w:tc>
          <w:tcPr>
            <w:tcW w:w="7280" w:type="dxa"/>
            <w:tcBorders/>
            <w:shd w:fill="FFFFFF" w:val="clear"/>
            <w:vAlign w:val="center"/>
          </w:tcPr>
          <w:p>
            <w:pPr>
              <w:pStyle w:val="TableContents"/>
              <w:bidi w:val="0"/>
              <w:spacing w:before="0" w:after="283"/>
              <w:jc w:val="left"/>
              <w:rPr/>
            </w:pPr>
            <w:hyperlink w:anchor="a_012">
              <w:r>
                <w:rPr>
                  <w:rStyle w:val="InternetLink"/>
                  <w:sz w:val="20"/>
                </w:rPr>
                <w:t>Exhibits</w:t>
              </w:r>
            </w:hyperlink>
          </w:p>
        </w:tc>
        <w:tc>
          <w:tcPr>
            <w:tcW w:w="455" w:type="dxa"/>
            <w:tcBorders/>
            <w:shd w:fill="FFFFFF" w:val="clear"/>
            <w:vAlign w:val="center"/>
          </w:tcPr>
          <w:p>
            <w:pPr>
              <w:pStyle w:val="TableContents"/>
              <w:bidi w:val="0"/>
              <w:spacing w:before="0" w:after="283"/>
              <w:jc w:val="center"/>
              <w:rPr>
                <w:sz w:val="20"/>
              </w:rPr>
            </w:pPr>
            <w:r>
              <w:rPr>
                <w:sz w:val="20"/>
              </w:rPr>
              <w:t>14</w:t>
            </w:r>
          </w:p>
        </w:tc>
      </w:tr>
      <w:tr>
        <w:trPr/>
        <w:tc>
          <w:tcPr>
            <w:tcW w:w="725"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8005" w:type="dxa"/>
            <w:gridSpan w:val="2"/>
            <w:tcBorders/>
            <w:shd w:fill="FFFFFF" w:val="clear"/>
            <w:vAlign w:val="center"/>
          </w:tcPr>
          <w:p>
            <w:pPr>
              <w:pStyle w:val="TableContents"/>
              <w:bidi w:val="0"/>
              <w:spacing w:before="0" w:after="283"/>
              <w:jc w:val="left"/>
              <w:rPr/>
            </w:pPr>
            <w:hyperlink w:anchor="a_013">
              <w:r>
                <w:rPr>
                  <w:rStyle w:val="InternetLink"/>
                  <w:sz w:val="20"/>
                </w:rPr>
                <w:t>Signatures</w:t>
              </w:r>
            </w:hyperlink>
          </w:p>
        </w:tc>
        <w:tc>
          <w:tcPr>
            <w:tcW w:w="455" w:type="dxa"/>
            <w:tcBorders/>
            <w:shd w:fill="FFFFFF" w:val="clear"/>
            <w:vAlign w:val="center"/>
          </w:tcPr>
          <w:p>
            <w:pPr>
              <w:pStyle w:val="TableContents"/>
              <w:bidi w:val="0"/>
              <w:spacing w:before="0" w:after="283"/>
              <w:jc w:val="center"/>
              <w:rPr>
                <w:sz w:val="20"/>
              </w:rPr>
            </w:pPr>
            <w:r>
              <w:rPr>
                <w:sz w:val="20"/>
              </w:rPr>
              <w:t>15</w:t>
            </w:r>
          </w:p>
        </w:tc>
      </w:tr>
    </w:tbl>
    <w:p>
      <w:pPr>
        <w:pStyle w:val="TextBody"/>
        <w:bidi w:val="0"/>
        <w:spacing w:before="0" w:after="0"/>
        <w:ind w:left="0" w:right="0" w:firstLine="907"/>
        <w:jc w:val="both"/>
        <w:rPr>
          <w:caps w:val="false"/>
          <w:smallCaps w:val="false"/>
        </w:rPr>
      </w:pPr>
      <w:r>
        <w:rPr>
          <w:caps w:val="false"/>
          <w:smallCaps w:val="false"/>
        </w:rPr>
        <w:t> </w:t>
      </w:r>
    </w:p>
    <w:p>
      <w:pPr>
        <w:pStyle w:val="TextBody"/>
        <w:bidi w:val="0"/>
        <w:spacing w:before="0" w:after="0"/>
        <w:ind w:left="0" w:right="0" w:firstLine="90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firstLine="90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VENHUB GLOBAL, INC.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37"/>
        <w:gridCol w:w="768"/>
      </w:tblGrid>
      <w:tr>
        <w:trPr/>
        <w:tc>
          <w:tcPr>
            <w:tcW w:w="9437" w:type="dxa"/>
            <w:tcBorders/>
            <w:shd w:fill="CCEEFF" w:val="clear"/>
            <w:vAlign w:val="center"/>
          </w:tcPr>
          <w:p>
            <w:pPr>
              <w:pStyle w:val="TableContents"/>
              <w:bidi w:val="0"/>
              <w:spacing w:before="0" w:after="283"/>
              <w:ind w:left="0" w:right="0" w:hanging="180"/>
              <w:jc w:val="both"/>
              <w:rPr/>
            </w:pPr>
            <w:hyperlink w:anchor="f_001">
              <w:r>
                <w:rPr>
                  <w:rStyle w:val="InternetLink"/>
                  <w:sz w:val="20"/>
                </w:rPr>
                <w:t>Condensed consolidated balance sheets as of June 30, 2026 (unaudited), and December 31, 2025 (audited)</w:t>
              </w:r>
            </w:hyperlink>
          </w:p>
        </w:tc>
        <w:tc>
          <w:tcPr>
            <w:tcW w:w="768" w:type="dxa"/>
            <w:tcBorders/>
            <w:shd w:fill="CCEEFF" w:val="clear"/>
            <w:vAlign w:val="center"/>
          </w:tcPr>
          <w:p>
            <w:pPr>
              <w:pStyle w:val="TableContents"/>
              <w:bidi w:val="0"/>
              <w:spacing w:before="0" w:after="283"/>
              <w:ind w:left="0" w:right="0" w:hanging="180"/>
              <w:jc w:val="center"/>
              <w:rPr>
                <w:b/>
                <w:sz w:val="20"/>
              </w:rPr>
            </w:pPr>
            <w:r>
              <w:rPr>
                <w:b/>
                <w:sz w:val="20"/>
              </w:rPr>
              <w:t>F-1</w:t>
            </w:r>
          </w:p>
        </w:tc>
      </w:tr>
      <w:tr>
        <w:trPr/>
        <w:tc>
          <w:tcPr>
            <w:tcW w:w="9437" w:type="dxa"/>
            <w:tcBorders/>
            <w:shd w:fill="FFFFFF" w:val="clear"/>
            <w:vAlign w:val="center"/>
          </w:tcPr>
          <w:p>
            <w:pPr>
              <w:pStyle w:val="TableContents"/>
              <w:bidi w:val="0"/>
              <w:spacing w:before="0" w:after="283"/>
              <w:jc w:val="both"/>
              <w:rPr/>
            </w:pPr>
            <w:r>
              <w:rPr/>
              <w:t> </w:t>
            </w:r>
          </w:p>
        </w:tc>
        <w:tc>
          <w:tcPr>
            <w:tcW w:w="768" w:type="dxa"/>
            <w:tcBorders/>
            <w:shd w:fill="FFFFFF" w:val="clear"/>
            <w:vAlign w:val="center"/>
          </w:tcPr>
          <w:p>
            <w:pPr>
              <w:pStyle w:val="TableContents"/>
              <w:bidi w:val="0"/>
              <w:spacing w:before="0" w:after="283"/>
              <w:ind w:left="0" w:right="0" w:hanging="180"/>
              <w:jc w:val="center"/>
              <w:rPr/>
            </w:pPr>
            <w:r>
              <w:rPr/>
              <w:t> </w:t>
            </w:r>
          </w:p>
        </w:tc>
      </w:tr>
      <w:tr>
        <w:trPr/>
        <w:tc>
          <w:tcPr>
            <w:tcW w:w="9437" w:type="dxa"/>
            <w:tcBorders/>
            <w:shd w:fill="CCEEFF" w:val="clear"/>
            <w:vAlign w:val="center"/>
          </w:tcPr>
          <w:p>
            <w:pPr>
              <w:pStyle w:val="TableContents"/>
              <w:bidi w:val="0"/>
              <w:spacing w:before="0" w:after="283"/>
              <w:jc w:val="both"/>
              <w:rPr/>
            </w:pPr>
            <w:hyperlink w:anchor="f_002">
              <w:r>
                <w:rPr>
                  <w:rStyle w:val="InternetLink"/>
                  <w:sz w:val="20"/>
                </w:rPr>
                <w:t>Condensed consolidated statements of operations for the three months and six months ended June 30, 2026 (unaudited), and June 30, 2025 (unaudited)</w:t>
              </w:r>
            </w:hyperlink>
          </w:p>
        </w:tc>
        <w:tc>
          <w:tcPr>
            <w:tcW w:w="768" w:type="dxa"/>
            <w:tcBorders/>
            <w:shd w:fill="CCEEFF" w:val="clear"/>
            <w:vAlign w:val="center"/>
          </w:tcPr>
          <w:p>
            <w:pPr>
              <w:pStyle w:val="TableContents"/>
              <w:bidi w:val="0"/>
              <w:spacing w:before="0" w:after="283"/>
              <w:ind w:left="0" w:right="0" w:hanging="180"/>
              <w:jc w:val="center"/>
              <w:rPr>
                <w:b/>
                <w:sz w:val="20"/>
              </w:rPr>
            </w:pPr>
            <w:r>
              <w:rPr>
                <w:b/>
                <w:sz w:val="20"/>
              </w:rPr>
              <w:t>F-2</w:t>
            </w:r>
          </w:p>
        </w:tc>
      </w:tr>
      <w:tr>
        <w:trPr/>
        <w:tc>
          <w:tcPr>
            <w:tcW w:w="9437" w:type="dxa"/>
            <w:tcBorders/>
            <w:shd w:fill="FFFFFF" w:val="clear"/>
            <w:vAlign w:val="center"/>
          </w:tcPr>
          <w:p>
            <w:pPr>
              <w:pStyle w:val="TableContents"/>
              <w:bidi w:val="0"/>
              <w:spacing w:before="0" w:after="283"/>
              <w:jc w:val="both"/>
              <w:rPr/>
            </w:pPr>
            <w:r>
              <w:rPr/>
              <w:t> </w:t>
            </w:r>
          </w:p>
        </w:tc>
        <w:tc>
          <w:tcPr>
            <w:tcW w:w="768" w:type="dxa"/>
            <w:tcBorders/>
            <w:shd w:fill="FFFFFF" w:val="clear"/>
            <w:vAlign w:val="center"/>
          </w:tcPr>
          <w:p>
            <w:pPr>
              <w:pStyle w:val="TableContents"/>
              <w:bidi w:val="0"/>
              <w:spacing w:before="0" w:after="283"/>
              <w:ind w:left="0" w:right="0" w:hanging="180"/>
              <w:jc w:val="center"/>
              <w:rPr/>
            </w:pPr>
            <w:r>
              <w:rPr/>
              <w:t> </w:t>
            </w:r>
          </w:p>
        </w:tc>
      </w:tr>
      <w:tr>
        <w:trPr/>
        <w:tc>
          <w:tcPr>
            <w:tcW w:w="9437" w:type="dxa"/>
            <w:tcBorders/>
            <w:shd w:fill="CCEEFF" w:val="clear"/>
            <w:vAlign w:val="center"/>
          </w:tcPr>
          <w:p>
            <w:pPr>
              <w:pStyle w:val="TableContents"/>
              <w:bidi w:val="0"/>
              <w:spacing w:before="0" w:after="283"/>
              <w:jc w:val="both"/>
              <w:rPr/>
            </w:pPr>
            <w:hyperlink w:anchor="f_003">
              <w:r>
                <w:rPr>
                  <w:rStyle w:val="InternetLink"/>
                  <w:sz w:val="20"/>
                </w:rPr>
                <w:t>Condensed consolidated statements of stockholders’ deficit for three and six months ended June 30, 2026 (unaudited), and June 30, 2025 (unaudited)</w:t>
              </w:r>
            </w:hyperlink>
          </w:p>
        </w:tc>
        <w:tc>
          <w:tcPr>
            <w:tcW w:w="768" w:type="dxa"/>
            <w:tcBorders/>
            <w:shd w:fill="CCEEFF" w:val="clear"/>
            <w:vAlign w:val="center"/>
          </w:tcPr>
          <w:p>
            <w:pPr>
              <w:pStyle w:val="TableContents"/>
              <w:bidi w:val="0"/>
              <w:spacing w:before="0" w:after="283"/>
              <w:ind w:left="0" w:right="0" w:hanging="180"/>
              <w:jc w:val="center"/>
              <w:rPr>
                <w:b/>
                <w:sz w:val="20"/>
              </w:rPr>
            </w:pPr>
            <w:r>
              <w:rPr>
                <w:b/>
                <w:sz w:val="20"/>
              </w:rPr>
              <w:t>F-3 – F-4</w:t>
            </w:r>
          </w:p>
        </w:tc>
      </w:tr>
      <w:tr>
        <w:trPr/>
        <w:tc>
          <w:tcPr>
            <w:tcW w:w="9437" w:type="dxa"/>
            <w:tcBorders/>
            <w:shd w:fill="FFFFFF" w:val="clear"/>
            <w:vAlign w:val="center"/>
          </w:tcPr>
          <w:p>
            <w:pPr>
              <w:pStyle w:val="TableContents"/>
              <w:bidi w:val="0"/>
              <w:spacing w:before="0" w:after="283"/>
              <w:jc w:val="both"/>
              <w:rPr/>
            </w:pPr>
            <w:r>
              <w:rPr/>
              <w:t> </w:t>
            </w:r>
          </w:p>
        </w:tc>
        <w:tc>
          <w:tcPr>
            <w:tcW w:w="768" w:type="dxa"/>
            <w:tcBorders/>
            <w:shd w:fill="FFFFFF" w:val="clear"/>
            <w:vAlign w:val="center"/>
          </w:tcPr>
          <w:p>
            <w:pPr>
              <w:pStyle w:val="TableContents"/>
              <w:bidi w:val="0"/>
              <w:spacing w:before="0" w:after="283"/>
              <w:ind w:left="0" w:right="0" w:hanging="180"/>
              <w:jc w:val="center"/>
              <w:rPr/>
            </w:pPr>
            <w:r>
              <w:rPr/>
              <w:t> </w:t>
            </w:r>
          </w:p>
        </w:tc>
      </w:tr>
      <w:tr>
        <w:trPr/>
        <w:tc>
          <w:tcPr>
            <w:tcW w:w="9437" w:type="dxa"/>
            <w:tcBorders/>
            <w:shd w:fill="CCEEFF" w:val="clear"/>
            <w:vAlign w:val="center"/>
          </w:tcPr>
          <w:p>
            <w:pPr>
              <w:pStyle w:val="TableContents"/>
              <w:bidi w:val="0"/>
              <w:spacing w:before="0" w:after="283"/>
              <w:jc w:val="both"/>
              <w:rPr/>
            </w:pPr>
            <w:hyperlink w:anchor="f_004">
              <w:r>
                <w:rPr>
                  <w:rStyle w:val="InternetLink"/>
                  <w:sz w:val="20"/>
                </w:rPr>
                <w:t>Condensed consolidated statements of cash flows for the six months ended June 30, 2026 (unaudited), and June 30, 2025 (unaudited)</w:t>
              </w:r>
            </w:hyperlink>
          </w:p>
        </w:tc>
        <w:tc>
          <w:tcPr>
            <w:tcW w:w="768" w:type="dxa"/>
            <w:tcBorders/>
            <w:shd w:fill="CCEEFF" w:val="clear"/>
            <w:vAlign w:val="center"/>
          </w:tcPr>
          <w:p>
            <w:pPr>
              <w:pStyle w:val="TableContents"/>
              <w:bidi w:val="0"/>
              <w:spacing w:before="0" w:after="283"/>
              <w:ind w:left="0" w:right="0" w:hanging="180"/>
              <w:jc w:val="center"/>
              <w:rPr>
                <w:b/>
                <w:sz w:val="20"/>
              </w:rPr>
            </w:pPr>
            <w:r>
              <w:rPr>
                <w:b/>
                <w:sz w:val="20"/>
              </w:rPr>
              <w:t>F-5</w:t>
            </w:r>
          </w:p>
        </w:tc>
      </w:tr>
      <w:tr>
        <w:trPr/>
        <w:tc>
          <w:tcPr>
            <w:tcW w:w="9437" w:type="dxa"/>
            <w:tcBorders/>
            <w:shd w:fill="FFFFFF" w:val="clear"/>
            <w:vAlign w:val="center"/>
          </w:tcPr>
          <w:p>
            <w:pPr>
              <w:pStyle w:val="TableContents"/>
              <w:bidi w:val="0"/>
              <w:spacing w:before="0" w:after="283"/>
              <w:jc w:val="both"/>
              <w:rPr/>
            </w:pPr>
            <w:r>
              <w:rPr/>
              <w:t> </w:t>
            </w:r>
          </w:p>
        </w:tc>
        <w:tc>
          <w:tcPr>
            <w:tcW w:w="768" w:type="dxa"/>
            <w:tcBorders/>
            <w:shd w:fill="FFFFFF" w:val="clear"/>
            <w:vAlign w:val="center"/>
          </w:tcPr>
          <w:p>
            <w:pPr>
              <w:pStyle w:val="TableContents"/>
              <w:bidi w:val="0"/>
              <w:spacing w:before="0" w:after="283"/>
              <w:ind w:left="0" w:right="0" w:hanging="180"/>
              <w:jc w:val="center"/>
              <w:rPr/>
            </w:pPr>
            <w:r>
              <w:rPr/>
              <w:t> </w:t>
            </w:r>
          </w:p>
        </w:tc>
      </w:tr>
      <w:tr>
        <w:trPr/>
        <w:tc>
          <w:tcPr>
            <w:tcW w:w="9437" w:type="dxa"/>
            <w:tcBorders/>
            <w:shd w:fill="CCEEFF" w:val="clear"/>
            <w:vAlign w:val="center"/>
          </w:tcPr>
          <w:p>
            <w:pPr>
              <w:pStyle w:val="TableContents"/>
              <w:bidi w:val="0"/>
              <w:spacing w:before="0" w:after="283"/>
              <w:jc w:val="both"/>
              <w:rPr/>
            </w:pPr>
            <w:hyperlink w:anchor="f_005">
              <w:r>
                <w:rPr>
                  <w:rStyle w:val="InternetLink"/>
                  <w:sz w:val="20"/>
                </w:rPr>
                <w:t>Notes to condensed consolidated financial statements (unaudited)</w:t>
              </w:r>
            </w:hyperlink>
          </w:p>
        </w:tc>
        <w:tc>
          <w:tcPr>
            <w:tcW w:w="768" w:type="dxa"/>
            <w:tcBorders/>
            <w:shd w:fill="CCEEFF" w:val="clear"/>
            <w:vAlign w:val="center"/>
          </w:tcPr>
          <w:p>
            <w:pPr>
              <w:pStyle w:val="TableContents"/>
              <w:bidi w:val="0"/>
              <w:spacing w:before="0" w:after="283"/>
              <w:jc w:val="center"/>
              <w:rPr>
                <w:b/>
                <w:sz w:val="20"/>
              </w:rPr>
            </w:pPr>
            <w:r>
              <w:rPr>
                <w:b/>
                <w:sz w:val="20"/>
              </w:rPr>
              <w:t>F-6 – F-21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f_001"/>
      <w:bookmarkEnd w:id="3"/>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9"/>
        <w:gridCol w:w="60"/>
        <w:gridCol w:w="140"/>
        <w:gridCol w:w="1295"/>
        <w:gridCol w:w="95"/>
        <w:gridCol w:w="60"/>
        <w:gridCol w:w="143"/>
        <w:gridCol w:w="1205"/>
        <w:gridCol w:w="88"/>
      </w:tblGrid>
      <w:tr>
        <w:trPr/>
        <w:tc>
          <w:tcPr>
            <w:tcW w:w="711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8" w:type="dxa"/>
            <w:tcBorders/>
            <w:vAlign w:val="center"/>
          </w:tcPr>
          <w:p>
            <w:pPr>
              <w:pStyle w:val="TableContents"/>
              <w:bidi w:val="0"/>
              <w:spacing w:before="0" w:after="283"/>
              <w:ind w:left="0" w:right="0" w:hanging="180"/>
              <w:jc w:val="left"/>
              <w:rPr/>
            </w:pPr>
            <w:r>
              <w:rPr/>
              <w:t> </w:t>
            </w:r>
          </w:p>
        </w:tc>
      </w:tr>
      <w:tr>
        <w:trPr/>
        <w:tc>
          <w:tcPr>
            <w:tcW w:w="7119" w:type="dxa"/>
            <w:tcBorders/>
            <w:vAlign w:val="center"/>
          </w:tcPr>
          <w:p>
            <w:pPr>
              <w:pStyle w:val="TableContents"/>
              <w:bidi w:val="0"/>
              <w:spacing w:before="0" w:after="283"/>
              <w:jc w:val="center"/>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7119"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2,563,439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89,634</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Inventory (note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2,447,132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1,021,947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724,663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248,032</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Sales tax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48,637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Security deposit -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2,000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5,785,871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1,361,613</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Security deposit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143,667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79,566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Property and equipment, net (note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1,343,264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1,275,078</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844,867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907,705</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2,331,798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2,262,349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8,117,669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3,623,962</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center"/>
              <w:rPr>
                <w:b/>
                <w:u w:val="single"/>
              </w:rPr>
            </w:pPr>
            <w:r>
              <w:rPr>
                <w:b/>
                <w:u w:val="single"/>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929,565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716,329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Interest payable -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72,366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89,148</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6,839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203,645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Current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326,247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346,953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Loan payable - related party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1,000,000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Deferrred revenue (note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1,500,000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Accrued payroll and compensation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2,457,647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2,114,487</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Convertible debt at fair value (note 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4,576,949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Total current labilities: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7,556,449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10,554,350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Interest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131,549</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Right of use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614,091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706,441</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Promissory note (note 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2,550,930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614,091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3,388,920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8,170,540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13,943,270</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b/>
              </w:rPr>
            </w:pPr>
            <w:r>
              <w:rPr>
                <w:b/>
              </w:rPr>
              <w:t>Commitments and contingencies: (note 3 and 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b/>
              </w:rPr>
            </w:pPr>
            <w:r>
              <w:rPr>
                <w:b/>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Preferred Stock A - $0.001 par value; 100,000 shares authorized; 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Preferred Stock B- $0.001 par value; 20,000,000 shares authorized; 3,943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Preferred Stock C - $0.001 par value; 100,000 shares authorized; 100,000 shares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100</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Common stock - $0.001 par value; 100,000,000 shares authorized; 90,392,857 shares issued and outstanding as of June 30, 2026 and 75,024,356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90,392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75,024</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109,124,222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71,774,075</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711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(109,267,588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(82,168,510</w:t>
            </w:r>
          </w:p>
        </w:tc>
        <w:tc>
          <w:tcPr>
            <w:tcW w:w="88" w:type="dxa"/>
            <w:tcBorders/>
            <w:shd w:fill="CCEEFF" w:val="clear"/>
            <w:vAlign w:val="center"/>
          </w:tcPr>
          <w:p>
            <w:pPr>
              <w:pStyle w:val="TableContents"/>
              <w:bidi w:val="0"/>
              <w:spacing w:before="0" w:after="283"/>
              <w:ind w:left="0" w:right="0" w:hanging="180"/>
              <w:jc w:val="left"/>
              <w:rPr/>
            </w:pPr>
            <w:r>
              <w:rPr/>
              <w:t>)</w:t>
            </w:r>
          </w:p>
        </w:tc>
      </w:tr>
      <w:tr>
        <w:trPr/>
        <w:tc>
          <w:tcPr>
            <w:tcW w:w="7119" w:type="dxa"/>
            <w:tcBorders/>
            <w:shd w:fill="FFFFFF" w:val="clear"/>
            <w:vAlign w:val="center"/>
          </w:tcPr>
          <w:p>
            <w:pPr>
              <w:pStyle w:val="TableContents"/>
              <w:bidi w:val="0"/>
              <w:spacing w:before="0" w:after="283"/>
              <w:jc w:val="left"/>
              <w:rPr>
                <w:b/>
              </w:rPr>
            </w:pPr>
            <w:r>
              <w:rPr>
                <w:b/>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(52,871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(10,319,308</w:t>
            </w:r>
          </w:p>
        </w:tc>
        <w:tc>
          <w:tcPr>
            <w:tcW w:w="88" w:type="dxa"/>
            <w:tcBorders/>
            <w:shd w:fill="FFFFFF" w:val="clear"/>
            <w:vAlign w:val="center"/>
          </w:tcPr>
          <w:p>
            <w:pPr>
              <w:pStyle w:val="TableContents"/>
              <w:bidi w:val="0"/>
              <w:spacing w:before="0" w:after="283"/>
              <w:ind w:left="0" w:right="0" w:hanging="180"/>
              <w:jc w:val="left"/>
              <w:rPr/>
            </w:pPr>
            <w:r>
              <w:rPr/>
              <w:t>)</w:t>
            </w:r>
          </w:p>
        </w:tc>
      </w:tr>
      <w:tr>
        <w:trPr/>
        <w:tc>
          <w:tcPr>
            <w:tcW w:w="71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7119" w:type="dxa"/>
            <w:tcBorders/>
            <w:shd w:fill="FFFFFF" w:val="clear"/>
            <w:vAlign w:val="center"/>
          </w:tcPr>
          <w:p>
            <w:pPr>
              <w:pStyle w:val="TableContents"/>
              <w:bidi w:val="0"/>
              <w:spacing w:before="0" w:after="283"/>
              <w:jc w:val="left"/>
              <w:rPr>
                <w:b/>
              </w:rPr>
            </w:pPr>
            <w:r>
              <w:rPr>
                <w:b/>
              </w:rPr>
              <w:t>TOTAL LIABILITIES &amp;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8,117,669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3,623,962</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3"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9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93"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_002"/>
      <w:bookmarkEnd w:id="4"/>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93"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3"/>
        <w:gridCol w:w="60"/>
        <w:gridCol w:w="144"/>
        <w:gridCol w:w="1217"/>
        <w:gridCol w:w="97"/>
        <w:gridCol w:w="61"/>
        <w:gridCol w:w="144"/>
        <w:gridCol w:w="1217"/>
        <w:gridCol w:w="97"/>
        <w:gridCol w:w="60"/>
        <w:gridCol w:w="140"/>
        <w:gridCol w:w="1175"/>
        <w:gridCol w:w="95"/>
        <w:gridCol w:w="60"/>
        <w:gridCol w:w="140"/>
        <w:gridCol w:w="1175"/>
        <w:gridCol w:w="440"/>
      </w:tblGrid>
      <w:tr>
        <w:trPr/>
        <w:tc>
          <w:tcPr>
            <w:tcW w:w="38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7"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 June 30,</w:t>
            </w:r>
          </w:p>
        </w:tc>
        <w:tc>
          <w:tcPr>
            <w:tcW w:w="60" w:type="dxa"/>
            <w:tcBorders/>
            <w:vAlign w:val="center"/>
          </w:tcPr>
          <w:p>
            <w:pPr>
              <w:pStyle w:val="TableContents"/>
              <w:bidi w:val="0"/>
              <w:spacing w:before="0" w:after="283"/>
              <w:jc w:val="left"/>
              <w:rPr/>
            </w:pPr>
            <w:r>
              <w:rPr/>
              <w:t> </w:t>
            </w:r>
          </w:p>
        </w:tc>
        <w:tc>
          <w:tcPr>
            <w:tcW w:w="3225" w:type="dxa"/>
            <w:gridSpan w:val="7"/>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 June 30,</w:t>
            </w:r>
          </w:p>
        </w:tc>
      </w:tr>
      <w:tr>
        <w:trPr/>
        <w:tc>
          <w:tcPr>
            <w:tcW w:w="38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1458"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41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75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2025</w:t>
            </w:r>
          </w:p>
        </w:tc>
      </w:tr>
      <w:tr>
        <w:trPr/>
        <w:tc>
          <w:tcPr>
            <w:tcW w:w="3883"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458" w:type="dxa"/>
            <w:gridSpan w:val="3"/>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3"/>
            <w:tcBorders/>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Store sales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500,000</w:t>
            </w:r>
          </w:p>
        </w:tc>
        <w:tc>
          <w:tcPr>
            <w:tcW w:w="440" w:type="dxa"/>
            <w:tcBorders/>
            <w:shd w:fill="CCEEFF" w:val="clear"/>
            <w:vAlign w:val="center"/>
          </w:tcPr>
          <w:p>
            <w:pPr>
              <w:pStyle w:val="TableContents"/>
              <w:bidi w:val="0"/>
              <w:spacing w:before="0" w:after="283"/>
              <w:ind w:left="0" w:right="0" w:firstLine="180"/>
              <w:jc w:val="left"/>
              <w:rPr/>
            </w:pPr>
            <w:r>
              <w:rPr/>
              <w:t> </w:t>
            </w:r>
          </w:p>
        </w:tc>
      </w:tr>
      <w:tr>
        <w:trPr/>
        <w:tc>
          <w:tcPr>
            <w:tcW w:w="3883" w:type="dxa"/>
            <w:tcBorders/>
            <w:shd w:fill="FFFFFF" w:val="clear"/>
            <w:vAlign w:val="center"/>
          </w:tcPr>
          <w:p>
            <w:pPr>
              <w:pStyle w:val="TableContents"/>
              <w:bidi w:val="0"/>
              <w:spacing w:before="0" w:after="283"/>
              <w:jc w:val="left"/>
              <w:rPr/>
            </w:pPr>
            <w:r>
              <w:rPr/>
              <w:t>Product sales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86,614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13,615</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13,615</w:t>
            </w:r>
          </w:p>
        </w:tc>
        <w:tc>
          <w:tcPr>
            <w:tcW w:w="440" w:type="dxa"/>
            <w:tcBorders/>
            <w:shd w:fill="FFFFFF" w:val="clear"/>
            <w:vAlign w:val="center"/>
          </w:tcPr>
          <w:p>
            <w:pPr>
              <w:pStyle w:val="TableContents"/>
              <w:bidi w:val="0"/>
              <w:spacing w:before="0" w:after="283"/>
              <w:ind w:left="0" w:right="0" w:firstLine="361"/>
              <w:jc w:val="left"/>
              <w:rPr/>
            </w:pPr>
            <w:r>
              <w:rPr/>
              <w:t> </w:t>
            </w:r>
          </w:p>
        </w:tc>
      </w:tr>
      <w:tr>
        <w:trPr/>
        <w:tc>
          <w:tcPr>
            <w:tcW w:w="3883"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86,614</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13,615</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154,450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513,615</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pPr>
            <w:r>
              <w:rPr/>
              <w:t>Store costs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232,134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232,134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323,388</w:t>
            </w:r>
          </w:p>
        </w:tc>
        <w:tc>
          <w:tcPr>
            <w:tcW w:w="440" w:type="dxa"/>
            <w:tcBorders/>
            <w:shd w:fill="FFFFFF" w:val="clear"/>
            <w:vAlign w:val="center"/>
          </w:tcPr>
          <w:p>
            <w:pPr>
              <w:pStyle w:val="TableContents"/>
              <w:bidi w:val="0"/>
              <w:spacing w:before="0" w:after="283"/>
              <w:ind w:left="0" w:right="0" w:firstLine="180"/>
              <w:jc w:val="left"/>
              <w:rPr/>
            </w:pPr>
            <w:r>
              <w:rPr/>
              <w:t> </w:t>
            </w:r>
          </w:p>
        </w:tc>
      </w:tr>
      <w:tr>
        <w:trPr/>
        <w:tc>
          <w:tcPr>
            <w:tcW w:w="3883" w:type="dxa"/>
            <w:tcBorders/>
            <w:shd w:fill="CCEEFF" w:val="clear"/>
            <w:vAlign w:val="center"/>
          </w:tcPr>
          <w:p>
            <w:pPr>
              <w:pStyle w:val="TableContents"/>
              <w:bidi w:val="0"/>
              <w:spacing w:before="0" w:after="283"/>
              <w:jc w:val="left"/>
              <w:rPr/>
            </w:pPr>
            <w:r>
              <w:rPr/>
              <w:t>Product costs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67,110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6,829</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6,829</w:t>
            </w:r>
          </w:p>
        </w:tc>
        <w:tc>
          <w:tcPr>
            <w:tcW w:w="440" w:type="dxa"/>
            <w:tcBorders/>
            <w:shd w:fill="CCEEFF" w:val="clear"/>
            <w:vAlign w:val="center"/>
          </w:tcPr>
          <w:p>
            <w:pPr>
              <w:pStyle w:val="TableContents"/>
              <w:bidi w:val="0"/>
              <w:spacing w:before="0" w:after="283"/>
              <w:ind w:left="0" w:right="0" w:firstLine="361"/>
              <w:jc w:val="left"/>
              <w:rPr/>
            </w:pPr>
            <w:r>
              <w:rPr/>
              <w:t> </w:t>
            </w:r>
          </w:p>
        </w:tc>
      </w:tr>
      <w:tr>
        <w:trPr/>
        <w:tc>
          <w:tcPr>
            <w:tcW w:w="3883" w:type="dxa"/>
            <w:tcBorders/>
            <w:shd w:fill="FFFFFF" w:val="clear"/>
            <w:vAlign w:val="center"/>
          </w:tcPr>
          <w:p>
            <w:pPr>
              <w:pStyle w:val="TableContents"/>
              <w:bidi w:val="0"/>
              <w:spacing w:before="0" w:after="283"/>
              <w:jc w:val="left"/>
              <w:rPr>
                <w:b/>
              </w:rPr>
            </w:pPr>
            <w:r>
              <w:rPr>
                <w:b/>
              </w:rPr>
              <w:t>Total cost of goods sold</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299,244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6,829</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363,391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330,217</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(212,630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6,786</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(208,941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183,398</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8,987,723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1,450,630</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12,879, 863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10,187,664</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pPr>
            <w:r>
              <w:rPr/>
              <w:t>Payroll and compensation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800,603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317,500</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1,283,103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635,000</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182,603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131,016</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271,318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432,371</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9,970,929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1,899,146</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14,434,284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11,255,035</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(Loss) income from operations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(10,183,559</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(1,892,360</w:t>
            </w:r>
          </w:p>
        </w:tc>
        <w:tc>
          <w:tcPr>
            <w:tcW w:w="9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(14,643,225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(11,071,637</w:t>
            </w:r>
          </w:p>
        </w:tc>
        <w:tc>
          <w:tcPr>
            <w:tcW w:w="440" w:type="dxa"/>
            <w:tcBorders/>
            <w:shd w:fill="FFFFFF" w:val="clear"/>
            <w:vAlign w:val="center"/>
          </w:tcPr>
          <w:p>
            <w:pPr>
              <w:pStyle w:val="TableContents"/>
              <w:bidi w:val="0"/>
              <w:spacing w:before="0" w:after="283"/>
              <w:jc w:val="left"/>
              <w:rPr/>
            </w:pPr>
            <w:r>
              <w:rPr/>
              <w:t>)</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Other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578,062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120,000</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11,795,411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228,033</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pPr>
            <w:r>
              <w:rPr/>
              <w:t>Settlement expense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269,000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18,513,430</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18,513,430</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Change in fair value of convertible debt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(540,753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3,849</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391,442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65,414</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Total other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306,309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18,637,279</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12,455,853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18,806,877</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Income tax provision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(10,489,868</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(20,529,639</w:t>
            </w:r>
          </w:p>
        </w:tc>
        <w:tc>
          <w:tcPr>
            <w:tcW w:w="9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(27,099,078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(29,878,514</w:t>
            </w:r>
          </w:p>
        </w:tc>
        <w:tc>
          <w:tcPr>
            <w:tcW w:w="440" w:type="dxa"/>
            <w:tcBorders/>
            <w:shd w:fill="FFFFFF" w:val="clear"/>
            <w:vAlign w:val="center"/>
          </w:tcPr>
          <w:p>
            <w:pPr>
              <w:pStyle w:val="TableContents"/>
              <w:bidi w:val="0"/>
              <w:spacing w:before="0" w:after="283"/>
              <w:jc w:val="left"/>
              <w:rPr/>
            </w:pPr>
            <w:r>
              <w:rPr/>
              <w:t>)</w:t>
            </w:r>
          </w:p>
        </w:tc>
      </w:tr>
      <w:tr>
        <w:trPr/>
        <w:tc>
          <w:tcPr>
            <w:tcW w:w="38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883" w:type="dxa"/>
            <w:tcBorders/>
            <w:shd w:fill="FFFFFF" w:val="clear"/>
            <w:vAlign w:val="center"/>
          </w:tcPr>
          <w:p>
            <w:pPr>
              <w:pStyle w:val="TableContents"/>
              <w:bidi w:val="0"/>
              <w:spacing w:before="0" w:after="283"/>
              <w:jc w:val="left"/>
              <w:rPr>
                <w:b/>
              </w:rPr>
            </w:pPr>
            <w:r>
              <w:rPr>
                <w:b/>
              </w:rPr>
              <w:t>Loss per share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(0.12</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(0.73</w:t>
            </w:r>
          </w:p>
        </w:tc>
        <w:tc>
          <w:tcPr>
            <w:tcW w:w="9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(1.04</w:t>
            </w:r>
          </w:p>
        </w:tc>
        <w:tc>
          <w:tcPr>
            <w:tcW w:w="440" w:type="dxa"/>
            <w:tcBorders/>
            <w:shd w:fill="CCEEFF" w:val="clear"/>
            <w:vAlign w:val="center"/>
          </w:tcPr>
          <w:p>
            <w:pPr>
              <w:pStyle w:val="TableContents"/>
              <w:bidi w:val="0"/>
              <w:spacing w:before="0" w:after="283"/>
              <w:jc w:val="left"/>
              <w:rPr/>
            </w:pPr>
            <w:r>
              <w:rPr/>
              <w:t>)</w:t>
            </w:r>
          </w:p>
        </w:tc>
      </w:tr>
      <w:tr>
        <w:trPr/>
        <w:tc>
          <w:tcPr>
            <w:tcW w:w="3883" w:type="dxa"/>
            <w:tcBorders/>
            <w:shd w:fill="FFFFFF" w:val="clear"/>
            <w:vAlign w:val="center"/>
          </w:tcPr>
          <w:p>
            <w:pPr>
              <w:pStyle w:val="TableContents"/>
              <w:bidi w:val="0"/>
              <w:spacing w:before="0" w:after="283"/>
              <w:jc w:val="left"/>
              <w:rPr>
                <w:b/>
              </w:rPr>
            </w:pPr>
            <w:r>
              <w:rPr>
                <w:b/>
              </w:rPr>
              <w:t>Weighted average common shares outstanding</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883"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86,302,690</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28,169,261</w:t>
            </w:r>
          </w:p>
        </w:tc>
        <w:tc>
          <w:tcPr>
            <w:tcW w:w="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83,719,758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28,765,414</w:t>
            </w:r>
          </w:p>
        </w:tc>
        <w:tc>
          <w:tcPr>
            <w:tcW w:w="4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3" w:right="0" w:hanging="0"/>
        <w:jc w:val="center"/>
        <w:rPr>
          <w:caps w:val="false"/>
          <w:smallCaps w:val="false"/>
        </w:rPr>
      </w:pPr>
      <w:r>
        <w:rPr>
          <w:caps w:val="false"/>
          <w:smallCaps w:val="false"/>
        </w:rPr>
        <w:t> </w:t>
      </w:r>
    </w:p>
    <w:p>
      <w:pPr>
        <w:pStyle w:val="TextBody"/>
        <w:bidi w:val="0"/>
        <w:spacing w:before="0" w:after="0"/>
        <w:ind w:left="93"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ind w:left="93" w:right="0" w:hanging="0"/>
        <w:jc w:val="center"/>
        <w:rPr>
          <w:caps w:val="false"/>
          <w:smallCaps w:val="false"/>
        </w:rPr>
      </w:pPr>
      <w:r>
        <w:rPr>
          <w:caps w:val="false"/>
          <w:smallCaps w:val="false"/>
        </w:rPr>
        <w:t> </w:t>
      </w:r>
    </w:p>
    <w:p>
      <w:pPr>
        <w:pStyle w:val="TextBody"/>
        <w:bidi w:val="0"/>
        <w:spacing w:before="0" w:after="0"/>
        <w:ind w:left="93"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93"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_003"/>
      <w:bookmarkEnd w:id="5"/>
      <w:r>
        <w:rPr>
          <w:rFonts w:ascii="Times New Roman;Times;Serif" w:hAnsi="Times New Roman;Times;Serif"/>
          <w:b/>
          <w:i w:val="false"/>
          <w:caps w:val="false"/>
          <w:smallCaps w:val="false"/>
          <w:sz w:val="20"/>
        </w:rPr>
        <w:t>CONDENSED CONSOLIDATED STATEMENTS OF 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w:t>
      </w:r>
    </w:p>
    <w:p>
      <w:pPr>
        <w:pStyle w:val="TextBody"/>
        <w:bidi w:val="0"/>
        <w:spacing w:before="0" w:after="0"/>
        <w:jc w:val="left"/>
        <w:rPr>
          <w:caps w:val="false"/>
          <w:smallCaps w:val="false"/>
        </w:rPr>
      </w:pPr>
      <w:r>
        <w:rPr>
          <w:caps w:val="false"/>
          <w:smallCaps w:val="false"/>
        </w:rPr>
        <w:t> </w:t>
      </w:r>
    </w:p>
    <w:tbl>
      <w:tblPr>
        <w:tblW w:w="10520" w:type="dxa"/>
        <w:jc w:val="left"/>
        <w:tblInd w:w="0" w:type="dxa"/>
        <w:tblLayout w:type="fixed"/>
        <w:tblCellMar>
          <w:top w:w="0" w:type="dxa"/>
          <w:left w:w="0" w:type="dxa"/>
          <w:bottom w:w="0" w:type="dxa"/>
          <w:right w:w="0" w:type="dxa"/>
        </w:tblCellMar>
      </w:tblPr>
      <w:tblGrid>
        <w:gridCol w:w="800"/>
        <w:gridCol w:w="60"/>
        <w:gridCol w:w="60"/>
        <w:gridCol w:w="830"/>
        <w:gridCol w:w="60"/>
        <w:gridCol w:w="60"/>
        <w:gridCol w:w="110"/>
        <w:gridCol w:w="515"/>
        <w:gridCol w:w="60"/>
        <w:gridCol w:w="60"/>
        <w:gridCol w:w="72"/>
        <w:gridCol w:w="533"/>
        <w:gridCol w:w="60"/>
        <w:gridCol w:w="60"/>
        <w:gridCol w:w="125"/>
        <w:gridCol w:w="480"/>
        <w:gridCol w:w="60"/>
        <w:gridCol w:w="60"/>
        <w:gridCol w:w="74"/>
        <w:gridCol w:w="531"/>
        <w:gridCol w:w="60"/>
        <w:gridCol w:w="60"/>
        <w:gridCol w:w="126"/>
        <w:gridCol w:w="479"/>
        <w:gridCol w:w="60"/>
        <w:gridCol w:w="60"/>
        <w:gridCol w:w="60"/>
        <w:gridCol w:w="605"/>
        <w:gridCol w:w="60"/>
        <w:gridCol w:w="60"/>
        <w:gridCol w:w="166"/>
        <w:gridCol w:w="439"/>
        <w:gridCol w:w="60"/>
        <w:gridCol w:w="60"/>
        <w:gridCol w:w="110"/>
        <w:gridCol w:w="920"/>
        <w:gridCol w:w="80"/>
        <w:gridCol w:w="60"/>
        <w:gridCol w:w="110"/>
        <w:gridCol w:w="980"/>
        <w:gridCol w:w="80"/>
        <w:gridCol w:w="60"/>
        <w:gridCol w:w="110"/>
        <w:gridCol w:w="890"/>
        <w:gridCol w:w="95"/>
      </w:tblGrid>
      <w:tr>
        <w:trPr/>
        <w:tc>
          <w:tcPr>
            <w:tcW w:w="8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Stock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Stock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Stock 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b/>
                <w:sz w:val="16"/>
              </w:rPr>
            </w:pPr>
            <w:r>
              <w:rPr>
                <w:b/>
                <w:sz w:val="16"/>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Total</w:t>
              <w:br/>
              <w:t>Stockholders’</w:t>
            </w:r>
          </w:p>
        </w:tc>
        <w:tc>
          <w:tcPr>
            <w:tcW w:w="95" w:type="dxa"/>
            <w:tcBorders/>
            <w:vAlign w:val="center"/>
          </w:tcPr>
          <w:p>
            <w:pPr>
              <w:pStyle w:val="TableContents"/>
              <w:bidi w:val="0"/>
              <w:spacing w:before="0" w:after="283"/>
              <w:ind w:left="0" w:right="0" w:hanging="180"/>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Paid-In</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95" w:type="dxa"/>
            <w:tcBorders/>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6"/>
              </w:rPr>
            </w:pPr>
            <w:r>
              <w:rPr>
                <w:b/>
                <w:sz w:val="16"/>
              </w:rPr>
              <w:t>Beginning,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75,024,356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515" w:type="dxa"/>
            <w:tcBorders/>
            <w:shd w:fill="CCEEFF" w:val="clear"/>
            <w:vAlign w:val="center"/>
          </w:tcPr>
          <w:p>
            <w:pPr>
              <w:pStyle w:val="TableContents"/>
              <w:bidi w:val="0"/>
              <w:spacing w:before="0" w:after="283"/>
              <w:jc w:val="right"/>
              <w:rPr>
                <w:sz w:val="16"/>
              </w:rPr>
            </w:pPr>
            <w:r>
              <w:rPr>
                <w:sz w:val="16"/>
              </w:rPr>
              <w:t>75,024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      </w:t>
            </w: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6"/>
              </w:rPr>
            </w:pPr>
            <w:r>
              <w:rPr>
                <w:sz w:val="16"/>
              </w:rPr>
              <w:t>$</w:t>
            </w:r>
          </w:p>
        </w:tc>
        <w:tc>
          <w:tcPr>
            <w:tcW w:w="480" w:type="dxa"/>
            <w:tcBorders/>
            <w:shd w:fill="CCEEFF" w:val="clear"/>
            <w:vAlign w:val="center"/>
          </w:tcPr>
          <w:p>
            <w:pPr>
              <w:pStyle w:val="TableContents"/>
              <w:bidi w:val="0"/>
              <w:spacing w:before="0" w:after="283"/>
              <w:jc w:val="right"/>
              <w:rPr/>
            </w:pPr>
            <w:r>
              <w:rPr/>
              <w:t>      </w:t>
            </w: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16"/>
              </w:rPr>
            </w:pPr>
            <w:r>
              <w:rPr>
                <w:sz w:val="16"/>
              </w:rPr>
              <w:t>$</w:t>
            </w:r>
          </w:p>
        </w:tc>
        <w:tc>
          <w:tcPr>
            <w:tcW w:w="479" w:type="dxa"/>
            <w:tcBorders/>
            <w:shd w:fill="CCEEFF" w:val="clear"/>
            <w:vAlign w:val="center"/>
          </w:tcPr>
          <w:p>
            <w:pPr>
              <w:pStyle w:val="TableContents"/>
              <w:bidi w:val="0"/>
              <w:spacing w:before="0" w:after="283"/>
              <w:jc w:val="right"/>
              <w:rPr>
                <w:sz w:val="16"/>
              </w:rPr>
            </w:pPr>
            <w:r>
              <w:rPr>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920" w:type="dxa"/>
            <w:tcBorders/>
            <w:shd w:fill="CCEEFF" w:val="clear"/>
            <w:vAlign w:val="center"/>
          </w:tcPr>
          <w:p>
            <w:pPr>
              <w:pStyle w:val="TableContents"/>
              <w:bidi w:val="0"/>
              <w:spacing w:before="0" w:after="283"/>
              <w:jc w:val="right"/>
              <w:rPr>
                <w:sz w:val="16"/>
              </w:rPr>
            </w:pPr>
            <w:r>
              <w:rPr>
                <w:sz w:val="16"/>
              </w:rPr>
              <w:t>71,774,075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980" w:type="dxa"/>
            <w:tcBorders/>
            <w:shd w:fill="CCEEFF" w:val="clear"/>
            <w:vAlign w:val="center"/>
          </w:tcPr>
          <w:p>
            <w:pPr>
              <w:pStyle w:val="TableContents"/>
              <w:bidi w:val="0"/>
              <w:spacing w:before="0" w:after="283"/>
              <w:jc w:val="right"/>
              <w:rPr>
                <w:sz w:val="16"/>
              </w:rPr>
            </w:pPr>
            <w:r>
              <w:rPr>
                <w:sz w:val="16"/>
              </w:rPr>
              <w:t>(82,168,510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90" w:type="dxa"/>
            <w:tcBorders/>
            <w:shd w:fill="CCEEFF" w:val="clear"/>
            <w:vAlign w:val="center"/>
          </w:tcPr>
          <w:p>
            <w:pPr>
              <w:pStyle w:val="TableContents"/>
              <w:bidi w:val="0"/>
              <w:spacing w:before="0" w:after="283"/>
              <w:jc w:val="right"/>
              <w:rPr>
                <w:sz w:val="16"/>
              </w:rPr>
            </w:pPr>
            <w:r>
              <w:rPr>
                <w:sz w:val="16"/>
              </w:rPr>
              <w:t>(10,319,308</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pPr>
            <w:r>
              <w:rPr/>
              <w:t>      </w:t>
            </w: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1,270,870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1,271,178</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Stock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25,001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299,987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300,012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shares for note extension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11,298,000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11,300,000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7,700,000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18,857,300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18,865,000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(1,466,225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(1,466,225</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(16,609,210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(16,609,210</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6"/>
              </w:rPr>
            </w:pPr>
            <w:r>
              <w:rPr>
                <w:b/>
                <w:sz w:val="16"/>
              </w:rPr>
              <w:t>Ending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85,057,857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85,057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102,034,007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(98,777,720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3,341,447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common stock -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5,335,000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5,335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47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7,090,215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7,095,550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(10,489,868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(10,489,868</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4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6"/>
              </w:rPr>
            </w:pPr>
            <w:r>
              <w:rPr>
                <w:b/>
                <w:sz w:val="16"/>
              </w:rPr>
              <w:t>Ending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90,392,857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90,392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7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109,124,222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(109,267,588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(52,871</w:t>
            </w:r>
          </w:p>
        </w:tc>
        <w:tc>
          <w:tcPr>
            <w:tcW w:w="9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2025</w:t>
      </w:r>
    </w:p>
    <w:p>
      <w:pPr>
        <w:pStyle w:val="TextBody"/>
        <w:bidi w:val="0"/>
        <w:spacing w:before="0" w:after="0"/>
        <w:ind w:left="0" w:right="0" w:hanging="0"/>
        <w:jc w:val="center"/>
        <w:rPr>
          <w:caps w:val="false"/>
          <w:smallCaps w:val="false"/>
        </w:rPr>
      </w:pPr>
      <w:r>
        <w:rPr>
          <w:caps w:val="false"/>
          <w:smallCaps w:val="false"/>
        </w:rPr>
        <w:t> </w:t>
      </w:r>
    </w:p>
    <w:tbl>
      <w:tblPr>
        <w:tblW w:w="10700" w:type="dxa"/>
        <w:jc w:val="left"/>
        <w:tblInd w:w="0" w:type="dxa"/>
        <w:tblLayout w:type="fixed"/>
        <w:tblCellMar>
          <w:top w:w="0" w:type="dxa"/>
          <w:left w:w="0" w:type="dxa"/>
          <w:bottom w:w="0" w:type="dxa"/>
          <w:right w:w="0" w:type="dxa"/>
        </w:tblCellMar>
      </w:tblPr>
      <w:tblGrid>
        <w:gridCol w:w="800"/>
        <w:gridCol w:w="60"/>
        <w:gridCol w:w="60"/>
        <w:gridCol w:w="830"/>
        <w:gridCol w:w="60"/>
        <w:gridCol w:w="60"/>
        <w:gridCol w:w="110"/>
        <w:gridCol w:w="515"/>
        <w:gridCol w:w="60"/>
        <w:gridCol w:w="60"/>
        <w:gridCol w:w="60"/>
        <w:gridCol w:w="605"/>
        <w:gridCol w:w="60"/>
        <w:gridCol w:w="60"/>
        <w:gridCol w:w="166"/>
        <w:gridCol w:w="439"/>
        <w:gridCol w:w="60"/>
        <w:gridCol w:w="60"/>
        <w:gridCol w:w="60"/>
        <w:gridCol w:w="605"/>
        <w:gridCol w:w="60"/>
        <w:gridCol w:w="60"/>
        <w:gridCol w:w="166"/>
        <w:gridCol w:w="439"/>
        <w:gridCol w:w="60"/>
        <w:gridCol w:w="60"/>
        <w:gridCol w:w="60"/>
        <w:gridCol w:w="680"/>
        <w:gridCol w:w="60"/>
        <w:gridCol w:w="60"/>
        <w:gridCol w:w="110"/>
        <w:gridCol w:w="680"/>
        <w:gridCol w:w="60"/>
        <w:gridCol w:w="60"/>
        <w:gridCol w:w="110"/>
        <w:gridCol w:w="830"/>
        <w:gridCol w:w="60"/>
        <w:gridCol w:w="60"/>
        <w:gridCol w:w="110"/>
        <w:gridCol w:w="890"/>
        <w:gridCol w:w="80"/>
        <w:gridCol w:w="60"/>
        <w:gridCol w:w="110"/>
        <w:gridCol w:w="890"/>
        <w:gridCol w:w="95"/>
      </w:tblGrid>
      <w:tr>
        <w:trPr/>
        <w:tc>
          <w:tcPr>
            <w:tcW w:w="8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Stock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Stock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0"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Preferred Stock 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sz w:val="16"/>
              </w:rPr>
            </w:pPr>
            <w:r>
              <w:rPr>
                <w:b/>
                <w:sz w:val="16"/>
              </w:rPr>
              <w:t>Total</w:t>
              <w:br/>
            </w:r>
            <w:r>
              <w:rPr>
                <w:rFonts w:ascii="Times New Roman;Times;Serif" w:hAnsi="Times New Roman;Times;Serif"/>
                <w:b/>
                <w:sz w:val="16"/>
              </w:rPr>
              <w:t>Stockholders’</w:t>
            </w:r>
          </w:p>
        </w:tc>
        <w:tc>
          <w:tcPr>
            <w:tcW w:w="95" w:type="dxa"/>
            <w:tcBorders/>
            <w:vAlign w:val="center"/>
          </w:tcPr>
          <w:p>
            <w:pPr>
              <w:pStyle w:val="TableContents"/>
              <w:bidi w:val="0"/>
              <w:spacing w:before="0" w:after="283"/>
              <w:ind w:left="0" w:right="0" w:hanging="180"/>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Equity (Deficit)</w:t>
            </w:r>
          </w:p>
        </w:tc>
        <w:tc>
          <w:tcPr>
            <w:tcW w:w="95" w:type="dxa"/>
            <w:tcBorders/>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6"/>
              </w:rPr>
            </w:pPr>
            <w:r>
              <w:rPr>
                <w:b/>
                <w:sz w:val="16"/>
              </w:rPr>
              <w:t>Beginning,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26,500,959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515" w:type="dxa"/>
            <w:tcBorders/>
            <w:shd w:fill="CCEEFF" w:val="clear"/>
            <w:vAlign w:val="center"/>
          </w:tcPr>
          <w:p>
            <w:pPr>
              <w:pStyle w:val="TableContents"/>
              <w:bidi w:val="0"/>
              <w:spacing w:before="0" w:after="283"/>
              <w:jc w:val="right"/>
              <w:rPr>
                <w:sz w:val="16"/>
              </w:rPr>
            </w:pPr>
            <w:r>
              <w:rPr>
                <w:sz w:val="16"/>
              </w:rPr>
              <w:t>26,501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593,742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16"/>
              </w:rPr>
            </w:pPr>
            <w:r>
              <w:rPr>
                <w:sz w:val="16"/>
              </w:rPr>
              <w:t>$</w:t>
            </w:r>
          </w:p>
        </w:tc>
        <w:tc>
          <w:tcPr>
            <w:tcW w:w="439" w:type="dxa"/>
            <w:tcBorders/>
            <w:shd w:fill="CCEEFF" w:val="clear"/>
            <w:vAlign w:val="center"/>
          </w:tcPr>
          <w:p>
            <w:pPr>
              <w:pStyle w:val="TableContents"/>
              <w:bidi w:val="0"/>
              <w:spacing w:before="0" w:after="283"/>
              <w:jc w:val="right"/>
              <w:rPr>
                <w:sz w:val="16"/>
              </w:rPr>
            </w:pPr>
            <w:r>
              <w:rPr>
                <w:sz w:val="16"/>
              </w:rPr>
              <w:t>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80" w:type="dxa"/>
            <w:tcBorders/>
            <w:shd w:fill="CCEEFF" w:val="clear"/>
            <w:vAlign w:val="center"/>
          </w:tcPr>
          <w:p>
            <w:pPr>
              <w:pStyle w:val="TableContents"/>
              <w:bidi w:val="0"/>
              <w:spacing w:before="0" w:after="283"/>
              <w:jc w:val="right"/>
              <w:rPr/>
            </w:pPr>
            <w:r>
              <w:rPr/>
              <w:t>          </w:t>
            </w: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16,071,724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90" w:type="dxa"/>
            <w:tcBorders/>
            <w:shd w:fill="CCEEFF" w:val="clear"/>
            <w:vAlign w:val="center"/>
          </w:tcPr>
          <w:p>
            <w:pPr>
              <w:pStyle w:val="TableContents"/>
              <w:bidi w:val="0"/>
              <w:spacing w:before="0" w:after="283"/>
              <w:jc w:val="right"/>
              <w:rPr>
                <w:sz w:val="16"/>
              </w:rPr>
            </w:pPr>
            <w:r>
              <w:rPr>
                <w:sz w:val="16"/>
              </w:rPr>
              <w:t>(19,769,347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90" w:type="dxa"/>
            <w:tcBorders/>
            <w:shd w:fill="CCEEFF" w:val="clear"/>
            <w:vAlign w:val="center"/>
          </w:tcPr>
          <w:p>
            <w:pPr>
              <w:pStyle w:val="TableContents"/>
              <w:bidi w:val="0"/>
              <w:spacing w:before="0" w:after="283"/>
              <w:jc w:val="right"/>
              <w:rPr>
                <w:sz w:val="16"/>
              </w:rPr>
            </w:pPr>
            <w:r>
              <w:rPr>
                <w:sz w:val="16"/>
              </w:rPr>
              <w:t>(3,670,428</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1,668,662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1,668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7,607,431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7,609,099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preferred stock B, crowdfunding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10,974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102,690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102,701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(9,348,875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(9,348,875</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6"/>
              </w:rPr>
            </w:pPr>
            <w:r>
              <w:rPr>
                <w:b/>
                <w:sz w:val="16"/>
              </w:rPr>
              <w:t>Ending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28,169,621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28,169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604,716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23,781,845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(29,118,222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(5,307,503</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66,785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304,473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304,540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Settlement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3,462,375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3,462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15,784,968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15,788,430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common stock -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810,324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3,499,189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3,500,000</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Issuance of preferred stock B, crowdfunding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sz w:val="16"/>
              </w:rPr>
            </w:pPr>
            <w:r>
              <w:rPr>
                <w:sz w:val="16"/>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118,338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118,349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sz w:val="16"/>
              </w:rPr>
            </w:pPr>
            <w:r>
              <w:rPr>
                <w:sz w:val="16"/>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(20,529,639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(20,529,639</w:t>
            </w:r>
          </w:p>
        </w:tc>
        <w:tc>
          <w:tcPr>
            <w:tcW w:w="9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800" w:type="dxa"/>
            <w:tcBorders/>
            <w:shd w:fill="CCEEFF" w:val="clear"/>
            <w:vAlign w:val="center"/>
          </w:tcPr>
          <w:p>
            <w:pPr>
              <w:pStyle w:val="TableContents"/>
              <w:bidi w:val="0"/>
              <w:spacing w:before="0" w:after="283"/>
              <w:jc w:val="left"/>
              <w:rPr>
                <w:b/>
                <w:sz w:val="16"/>
              </w:rPr>
            </w:pPr>
            <w:r>
              <w:rPr>
                <w:b/>
                <w:sz w:val="16"/>
              </w:rPr>
              <w:t>Ending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32,509,105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51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32,509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616,271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43,488,813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(49,647,861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(6,125,823</w:t>
            </w:r>
          </w:p>
        </w:tc>
        <w:tc>
          <w:tcPr>
            <w:tcW w:w="95" w:type="dxa"/>
            <w:tcBorders/>
            <w:shd w:fill="CCEE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_004"/>
      <w:bookmarkEnd w:id="6"/>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9785" w:type="dxa"/>
        <w:jc w:val="left"/>
        <w:tblInd w:w="0" w:type="dxa"/>
        <w:tblLayout w:type="fixed"/>
        <w:tblCellMar>
          <w:top w:w="0" w:type="dxa"/>
          <w:left w:w="0" w:type="dxa"/>
          <w:bottom w:w="0" w:type="dxa"/>
          <w:right w:w="0" w:type="dxa"/>
        </w:tblCellMar>
      </w:tblPr>
      <w:tblGrid>
        <w:gridCol w:w="6830"/>
        <w:gridCol w:w="60"/>
        <w:gridCol w:w="140"/>
        <w:gridCol w:w="1175"/>
        <w:gridCol w:w="95"/>
        <w:gridCol w:w="60"/>
        <w:gridCol w:w="140"/>
        <w:gridCol w:w="1175"/>
        <w:gridCol w:w="110"/>
      </w:tblGrid>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(27,099,078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(29,878,514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8,366,728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7,913,639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Settlement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18,513,430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Payment of settlement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Non-cash interest expense related to note extension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11,300,000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27,952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 in fair value of convertible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391,442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65,414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(1,425,185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(179,095</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Deferred offering cost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(88,704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Repayment of promissory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(2,550,930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Interest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200,689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(476,631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(59,281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1,750,000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(41,645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Security deposit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(55,000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Change in operating right of 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(741,398</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Change in operating right of use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685,072</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213,236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(150,272</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40,100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Sales tax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(48,637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Accrued payroll and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343,160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404,000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(11,146,083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(1,552,968</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(210,508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(483,154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(210,508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(483,154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from crowdfunding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221,050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Proceeds from convertible debt,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650,000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from stock purchase agreements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300,012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Proceeds from warrant issuance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18,865,000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3,500,000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Proceeds from related party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Repayment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(4,968,391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Payment of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(1,466,225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13,830,396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4,371,050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2,473,805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2,334,928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89,634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1,352,892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2,563,439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3,687,820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condensed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_005"/>
      <w:bookmarkEnd w:id="7"/>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20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4880" w:type="dxa"/>
            <w:tcBorders/>
            <w:vAlign w:val="center"/>
          </w:tcPr>
          <w:p>
            <w:pPr>
              <w:pStyle w:val="TableContents"/>
              <w:bidi w:val="0"/>
              <w:spacing w:before="0" w:after="283"/>
              <w:jc w:val="both"/>
              <w:rPr>
                <w:b/>
              </w:rPr>
            </w:pPr>
            <w:r>
              <w:rPr>
                <w:b/>
              </w:rPr>
              <w:t>ORGANIZATION AND LINE OF BUSINESS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VenHub, Global Inc. (which may be referred to as the “Company”, “we,” “us,” or “our” doing business as Venhub) was registered in Wyoming on January 31, 2023, as Autonomous Solutions Inc. On August 15, 2024, the Company redomiciled from Wyoming to Delaware and also renamed the Company to VenHub Global, Inc. (“VenHub”). On October 3, 2025, the Company redomiciled from Delaware to Nevada.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develops, manufactures, and deploys autonomous Smart Stores and provides related software and support services to commercial customers, offering an innovative approach to the convenience retail industry.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is a fully autonomous and robotic-operated store that utilizes advanced technologies such as artificial intelligence (AI) and smart inventory management systems to offer a seamless shopping experience for customers.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created three wholly owned subsidiary limited liability companies: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LLC to manage manufacturing, assembly and installation of units.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Services LLC to provide software-as-a-service (SaaS) and ongoing maintenance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IP, LLC to hold and manage the Company’s intellectual property.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Stores, LLC was incorporated in Nevada on June 4, 2025, as the fourth subsidiary and is designed to focus on ownership of Company-owned stores.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commenced trading under the ticker symbol “VHUB” on the NASDAQ Global Market.</w:t>
      </w:r>
    </w:p>
    <w:p>
      <w:pPr>
        <w:pStyle w:val="TextBody"/>
        <w:bidi w:val="0"/>
        <w:spacing w:before="0" w:after="0"/>
        <w:ind w:left="879" w:right="0" w:hanging="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0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6380"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consolidated financial statements have been prepared in accordance with accounting principles generally accepted in the United States of America (“U.S. GAAP”). As permitted under those rules, certain footnotes or other financial information that are normally required by U.S. GAAP can be condensed or omitted. These interim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These interim results are not necessarily indicative of the results to be expected for the year ending December 31, 2026, or any other interim period or for any other future year. These unaudited condensed consolidated financial statements should be read in conjunction with the Company’s audited financial statements and the notes thereto for the period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has sold three stores and is operating two Company owned stores which were operational on June 6, 2025 and November 4, 2025. Since its inception, the Company has experienced recurring losses and, as of June 30, 2026, reported an accumulated deficit of $109,267,588 and negative cash flows from operating activities for the six months then ended. These matters raise substantial doubt about the Company’s ability to continue as a going concern. During the next twelve months, the Company expects to fund its operations primarily through additional capital raising activities, including equity and debt financing and investments from existing and new investors. As the Company continues to commercialize its Smart Stores, it also expects to generate revenue from direct Smart Store sales and, over time, recurring SaaS and related service revenue. The Company expects its reliance on external financing to decrease as revenue from Smart Store sales and recurring services increases. However, the Company has not recognized Smart Store sales revenue during the six months ended June 30, 2026, and there can be no assurance that anticipated Smart Store sales, SaaS revenue, or additional financing will occur on the timing or in the amounts necessary to fund operations. If the Company cannot secure sufficient additional capital or generate sufficient revenue, it may be required to reduce or cease operations.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Reclassification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prior-period amounts have been reclassified to conform to the current-period presentation. During the preparation of the accompanying financial statements, the Company determined that certain non-cash fair value adjustments related to convertible notes accounted for under the fair value option had previously been presented within interest expense. These amounts have been reclassified to "Change in fair value of convertible debt" within other expense. The reclassification had no effect on total other expense, net loss, earnings (loss) per share, cash flows, total assets, total liabilities, or stockholders'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net realizable value in accordance with ASC 330, Inventory. Cost is determined using the first-in, first-out ("FIFO") method and includes the purchase price of raw materials, freight, applicable taxes, and other costs incurred to bring inventory to its present location and condition.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regularly evaluates inventory for excess quantities, obsolescence, slow-moving items, and changes in expected future demand. When inventory is determined to be obsolete, damaged, or its carrying value is no longer recoverable, the inventory is written down to its estimated net realizable value. Such write-downs establish a new cost basis for the affected inventory and are not subsequently reversed if market conditions improve. The following table illustrates inventory as of June 30, 2026, and December 31, 2025:</w:t>
      </w:r>
    </w:p>
    <w:p>
      <w:pPr>
        <w:pStyle w:val="TextBody"/>
        <w:bidi w:val="0"/>
        <w:spacing w:before="0" w:after="0"/>
        <w:ind w:left="720" w:right="0" w:hanging="0"/>
        <w:jc w:val="both"/>
        <w:rPr>
          <w:caps w:val="false"/>
          <w:smallCaps w:val="false"/>
        </w:rPr>
      </w:pPr>
      <w:r>
        <w:rPr>
          <w:caps w:val="false"/>
          <w:smallCaps w:val="false"/>
        </w:rPr>
        <w:t> </w:t>
      </w:r>
    </w:p>
    <w:tbl>
      <w:tblPr>
        <w:tblW w:w="4579" w:type="dxa"/>
        <w:jc w:val="left"/>
        <w:tblInd w:w="0" w:type="dxa"/>
        <w:tblLayout w:type="fixed"/>
        <w:tblCellMar>
          <w:top w:w="0" w:type="dxa"/>
          <w:left w:w="0" w:type="dxa"/>
          <w:bottom w:w="0" w:type="dxa"/>
          <w:right w:w="0" w:type="dxa"/>
        </w:tblCellMar>
      </w:tblPr>
      <w:tblGrid>
        <w:gridCol w:w="1730"/>
        <w:gridCol w:w="60"/>
        <w:gridCol w:w="140"/>
        <w:gridCol w:w="980"/>
        <w:gridCol w:w="60"/>
        <w:gridCol w:w="60"/>
        <w:gridCol w:w="184"/>
        <w:gridCol w:w="1290"/>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Raw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2,308,862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1,021,947</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Product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Work in progress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2,447,132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FFFFFF" w:val="clear"/>
            <w:tcMar>
              <w:bottom w:w="28" w:type="dxa"/>
            </w:tcMar>
            <w:vAlign w:val="center"/>
          </w:tcPr>
          <w:p>
            <w:pPr>
              <w:pStyle w:val="TableContents"/>
              <w:bidi w:val="0"/>
              <w:spacing w:before="0" w:after="283"/>
              <w:jc w:val="right"/>
              <w:rPr/>
            </w:pPr>
            <w:r>
              <w:rPr/>
              <w:t>1,021,947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primarily of raw materials, purchased components, subassemblies, robotic units and convenience items for our Company owned stores. Work in process includes partially assembled robotic systems and artificial intelligence hardware integrated with proprietary software that are in various stages of completion.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Inventory is stated at the lower of cost or net realizable value in accordance with ASC 330, </w:t>
      </w:r>
      <w:r>
        <w:rPr>
          <w:rFonts w:ascii="Times New Roman;Times;Serif" w:hAnsi="Times New Roman;Times;Serif"/>
          <w:b w:val="false"/>
          <w:i/>
          <w:caps w:val="false"/>
          <w:smallCaps w:val="false"/>
          <w:sz w:val="20"/>
        </w:rPr>
        <w:t>Inventory</w:t>
      </w:r>
      <w:r>
        <w:rPr>
          <w:rFonts w:ascii="Times New Roman;Times;Serif" w:hAnsi="Times New Roman;Times;Serif"/>
          <w:b w:val="false"/>
          <w:i w:val="false"/>
          <w:caps w:val="false"/>
          <w:smallCaps w:val="false"/>
          <w:sz w:val="20"/>
        </w:rPr>
        <w:t xml:space="preserve">. The Company periodically evaluates inventory for excess quantities, obsolescence, and recoverability. During the three and six months ended June 30, 2026, the Company determined that certain production inventory associated with a product design was no longer expected to be utilized in the manufacture of products for sale and had no alternative future use, as we made several process improvements to the design of the store. Accordingly, the Company recorded an inventory write-down of $232,134 to its estimated net realizable value, which was zero for the affected inventory. The resulting charge is included within cost of good sold in the accompanying condensed statements of operations..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certain estimates and assumptions that affect the amounts reported in the financial statements and footnotes thereto. Actual results could materially differ from these estimates. It is reasonably possible that changes in estimates will occur in the near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used in the preparation of the accompanying financial statements include recording of convertible notes, depreciation and amortization based on estimated useful lives of property and equipment and the fair value of shares issued for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and Uncertainties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limited operating history. The Company’s business and operations are sensitive to general business and economic conditions in the United States. A host of factors beyond the Company’s control could cause fluctuations in these conditions. Adverse conditions may include recession, downturn or otherwise, local competition or changes in consumer taste. These adverse conditions could affect the Company’s financial condition and the results of its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(COGS) includes the cost of consumer products sold through the Company’s automated retail stores, the purchase price of inventory, inbound freight, packaging materials, and costs associated with product assembly or customization. COGS is recorded at the time revenue is recognized, which typically coincides with the transfer of control of goods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its cash with a major financial institution located in the United States of America, which it believes to be credit worthy. The Federal Deposit Insurance Corporation insures balances up to $250,000. At times, the Company may maintain balances in excess of the federally insured limits. As of June 30, 2026, the Company’s cash was $2,313,439 more than the $250,000 federally insured limit. At December 31, 2025, the Company’s cash was less than $250,000 and fully insured.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59" w:right="0" w:firstLine="561"/>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159" w:right="0" w:firstLine="561"/>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short-term, highly liquid investments with original maturities of three months or less at the time of purchase to be cash equivalents. As of June 30, 2026, the Company had $2,563,439 cash on hand and no cash equivalents. At December 31, 2025, the Company had $89,634 of cash on hand and no cash equivalents.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Intercompany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engages in transactions with its subsidiaries and other related entities as part of its normal business operations. These transactions are conducted on terms and conditions that are similar to those with third parties and are eliminated in preparing the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is recorded at cost and consists primarily of robotics systems, store structures, and related technology infrastructure.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June 30, 2026, the Company had $1,343,264 of property and equipment, net. The Company had $1,275,078 of property and equipment, net at December 31, 2025.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is provided using the straight-line method, based on useful lives of the assets, which the Company estimates is 5-7 years. The Company’s property and equipment is comprised of machinery and equipment and leasehold improvements whose useful life is the lesser of the remaining lease term or estimated useful life.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June 30,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net book value of capitalized company-owned store and display assets was $890,617 and $973,052 respectively, which is included in “Property and Equipment, net” on the consolidated balance sheets. There was $41,218 depreciation and amortization expense related to company-owned store assets/display centers for the three months ended June 30, 2026 and no depreciation expense for the three months ended June 30, 2025. For the six months ended June 30, 2026 there was $82,435 in depreciation expense and no depreciation expense for the six months ended June 30, 2025.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and 2025 depreciation and amortization expense was $73,559 and $12,723 respectively. Depreciation and amortization expense for the six months ended June 30, 2026, and 2025, was $142,322 and $27,952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revenue is a liability on the Company’s balance sheet that represents payment for preorders of the Company’s stores and for store sale not yet in production. Deferred revenue is recognized as earned revenue on the income statement as the good or service is delivered to the customer. The balance at June 30, 2026, and December 31, 2025 was $1,500,000.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Deposits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deposits are recorded as a liability on the consolidated balance sheets, as the Company has not yet transferred control of the promised goods or services to the customer in accordance with ASC 606, Revenue from Contracts with Customers. Upon satisfaction of the related performance obligations, these amounts will be recognized as revenue. Customer deposits are refundable until the underlying order is fulfilled. The balance at June 30, 2026, and December 31, 2025 was $162,000 and $203,645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in the principal or most advantageous market for the asset in an orderly transaction between market participants on the measurement date. Fair value should be based on assumptions market participants would use when pricing an asset. U.S. GAAP provides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fair value measurement level within the fair value hierarchy is based on the lowest level of any input that is significant to the fair value measurement.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that are required to be recorded at fair value on the balance sheet are categorized based on the inputs to valuation techniques as follows: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23"/>
        <w:gridCol w:w="140"/>
        <w:gridCol w:w="9467"/>
      </w:tblGrid>
      <w:tr>
        <w:trPr/>
        <w:tc>
          <w:tcPr>
            <w:tcW w:w="75" w:type="dxa"/>
            <w:tcBorders/>
            <w:vAlign w:val="center"/>
          </w:tcPr>
          <w:p>
            <w:pPr>
              <w:pStyle w:val="TableContents"/>
              <w:bidi w:val="0"/>
              <w:spacing w:before="0" w:after="283"/>
              <w:jc w:val="both"/>
              <w:rPr/>
            </w:pPr>
            <w:r>
              <w:rPr/>
              <w:t> </w:t>
            </w:r>
          </w:p>
        </w:tc>
        <w:tc>
          <w:tcPr>
            <w:tcW w:w="5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w:t>
            </w:r>
          </w:p>
        </w:tc>
        <w:tc>
          <w:tcPr>
            <w:tcW w:w="140" w:type="dxa"/>
            <w:tcBorders/>
            <w:vAlign w:val="center"/>
          </w:tcPr>
          <w:p>
            <w:pPr>
              <w:pStyle w:val="TableContents"/>
              <w:bidi w:val="0"/>
              <w:spacing w:before="0" w:after="283"/>
              <w:jc w:val="both"/>
              <w:rPr/>
            </w:pPr>
            <w:r>
              <w:rPr/>
              <w:t>–</w:t>
            </w:r>
          </w:p>
        </w:tc>
        <w:tc>
          <w:tcPr>
            <w:tcW w:w="94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Unadjusted quoted prices in active markets that are accessible at the measurement date for identical, unrestricted assets or liabilities.</w:t>
            </w:r>
          </w:p>
        </w:tc>
      </w:tr>
      <w:tr>
        <w:trPr/>
        <w:tc>
          <w:tcPr>
            <w:tcW w:w="75" w:type="dxa"/>
            <w:tcBorders/>
            <w:vAlign w:val="center"/>
          </w:tcPr>
          <w:p>
            <w:pPr>
              <w:pStyle w:val="TableContents"/>
              <w:bidi w:val="0"/>
              <w:spacing w:before="0" w:after="283"/>
              <w:jc w:val="both"/>
              <w:rPr/>
            </w:pPr>
            <w:r>
              <w:rPr/>
              <w:t> </w:t>
            </w:r>
          </w:p>
        </w:tc>
        <w:tc>
          <w:tcPr>
            <w:tcW w:w="523"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4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w:t>
            </w:r>
          </w:p>
        </w:tc>
        <w:tc>
          <w:tcPr>
            <w:tcW w:w="140" w:type="dxa"/>
            <w:tcBorders/>
            <w:vAlign w:val="center"/>
          </w:tcPr>
          <w:p>
            <w:pPr>
              <w:pStyle w:val="TableContents"/>
              <w:bidi w:val="0"/>
              <w:spacing w:before="0" w:after="283"/>
              <w:jc w:val="both"/>
              <w:rPr/>
            </w:pPr>
            <w:r>
              <w:rPr/>
              <w:t>–</w:t>
            </w:r>
          </w:p>
        </w:tc>
        <w:tc>
          <w:tcPr>
            <w:tcW w:w="94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Observable inputs other than quoted prices included within Level 1 that are observable for the asset or liability,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 by correlation or other means.</w:t>
            </w:r>
          </w:p>
        </w:tc>
      </w:tr>
      <w:tr>
        <w:trPr/>
        <w:tc>
          <w:tcPr>
            <w:tcW w:w="75" w:type="dxa"/>
            <w:tcBorders/>
            <w:vAlign w:val="center"/>
          </w:tcPr>
          <w:p>
            <w:pPr>
              <w:pStyle w:val="TableContents"/>
              <w:bidi w:val="0"/>
              <w:spacing w:before="0" w:after="283"/>
              <w:jc w:val="both"/>
              <w:rPr/>
            </w:pPr>
            <w:r>
              <w:rPr/>
              <w:t> </w:t>
            </w:r>
          </w:p>
        </w:tc>
        <w:tc>
          <w:tcPr>
            <w:tcW w:w="523"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946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140" w:type="dxa"/>
            <w:tcBorders/>
            <w:vAlign w:val="center"/>
          </w:tcPr>
          <w:p>
            <w:pPr>
              <w:pStyle w:val="TableContents"/>
              <w:bidi w:val="0"/>
              <w:spacing w:before="0" w:after="283"/>
              <w:jc w:val="left"/>
              <w:rPr/>
            </w:pPr>
            <w:r>
              <w:rPr/>
              <w:t>–</w:t>
            </w:r>
          </w:p>
        </w:tc>
        <w:tc>
          <w:tcPr>
            <w:tcW w:w="9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Prices or valuation techniques requiring inputs that are both significant to the fair value measurement and unobservable.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10 for liabilities measured at fair value at June 30, 2026, and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Financial Accounting Standards Board (“FASB”) Accounting Standards Codification (“ASC”) Topic 606 – Revenue from Contracts (“ASC 606”) using the 5 step process:</w:t>
      </w:r>
    </w:p>
    <w:p>
      <w:pPr>
        <w:pStyle w:val="TextBody"/>
        <w:bidi w:val="0"/>
        <w:spacing w:before="0" w:after="0"/>
        <w:ind w:left="879" w:right="0" w:hanging="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15"/>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3545" w:type="dxa"/>
            <w:tcBorders/>
            <w:vAlign w:val="center"/>
          </w:tcPr>
          <w:p>
            <w:pPr>
              <w:pStyle w:val="TableContents"/>
              <w:bidi w:val="0"/>
              <w:spacing w:before="0" w:after="283"/>
              <w:jc w:val="both"/>
              <w:rPr/>
            </w:pPr>
            <w:r>
              <w:rPr/>
              <w:t>Identify the contract with a customer.</w:t>
            </w:r>
          </w:p>
        </w:tc>
      </w:tr>
    </w:tbl>
    <w:p>
      <w:pPr>
        <w:pStyle w:val="TextBody"/>
        <w:bidi w:val="0"/>
        <w:spacing w:before="0" w:after="283"/>
        <w:jc w:val="left"/>
        <w:rPr/>
      </w:pPr>
      <w:r>
        <w:rPr/>
        <w:t> </w:t>
      </w:r>
    </w:p>
    <w:tbl>
      <w:tblPr>
        <w:tblW w:w="5163" w:type="dxa"/>
        <w:jc w:val="left"/>
        <w:tblInd w:w="0" w:type="dxa"/>
        <w:tblLayout w:type="fixed"/>
        <w:tblCellMar>
          <w:top w:w="0" w:type="dxa"/>
          <w:left w:w="0" w:type="dxa"/>
          <w:bottom w:w="0" w:type="dxa"/>
          <w:right w:w="0" w:type="dxa"/>
        </w:tblCellMar>
      </w:tblPr>
      <w:tblGrid>
        <w:gridCol w:w="38"/>
        <w:gridCol w:w="215"/>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2)</w:t>
            </w:r>
          </w:p>
        </w:tc>
        <w:tc>
          <w:tcPr>
            <w:tcW w:w="4910" w:type="dxa"/>
            <w:tcBorders/>
            <w:vAlign w:val="center"/>
          </w:tcPr>
          <w:p>
            <w:pPr>
              <w:pStyle w:val="TableContents"/>
              <w:bidi w:val="0"/>
              <w:spacing w:before="0" w:after="283"/>
              <w:jc w:val="both"/>
              <w:rPr/>
            </w:pPr>
            <w:r>
              <w:rPr/>
              <w:t>Identify the performance obligations in the contract.</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21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3)</w:t>
            </w:r>
          </w:p>
        </w:tc>
        <w:tc>
          <w:tcPr>
            <w:tcW w:w="3035" w:type="dxa"/>
            <w:tcBorders/>
            <w:vAlign w:val="center"/>
          </w:tcPr>
          <w:p>
            <w:pPr>
              <w:pStyle w:val="TableContents"/>
              <w:bidi w:val="0"/>
              <w:spacing w:before="0" w:after="283"/>
              <w:jc w:val="both"/>
              <w:rPr/>
            </w:pPr>
            <w:r>
              <w:rPr/>
              <w:t>Determine the transaction price.</w:t>
            </w:r>
          </w:p>
        </w:tc>
      </w:tr>
    </w:tbl>
    <w:p>
      <w:pPr>
        <w:pStyle w:val="TextBody"/>
        <w:bidi w:val="0"/>
        <w:spacing w:before="0" w:after="283"/>
        <w:jc w:val="left"/>
        <w:rPr/>
      </w:pPr>
      <w:r>
        <w:rPr/>
        <w:t> </w:t>
      </w:r>
    </w:p>
    <w:tbl>
      <w:tblPr>
        <w:tblW w:w="3093" w:type="dxa"/>
        <w:jc w:val="left"/>
        <w:tblInd w:w="0" w:type="dxa"/>
        <w:tblLayout w:type="fixed"/>
        <w:tblCellMar>
          <w:top w:w="0" w:type="dxa"/>
          <w:left w:w="0" w:type="dxa"/>
          <w:bottom w:w="0" w:type="dxa"/>
          <w:right w:w="0" w:type="dxa"/>
        </w:tblCellMar>
      </w:tblPr>
      <w:tblGrid>
        <w:gridCol w:w="38"/>
        <w:gridCol w:w="21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4)</w:t>
            </w:r>
          </w:p>
        </w:tc>
        <w:tc>
          <w:tcPr>
            <w:tcW w:w="2840" w:type="dxa"/>
            <w:tcBorders/>
            <w:vAlign w:val="center"/>
          </w:tcPr>
          <w:p>
            <w:pPr>
              <w:pStyle w:val="TableContents"/>
              <w:bidi w:val="0"/>
              <w:spacing w:before="0" w:after="283"/>
              <w:jc w:val="both"/>
              <w:rPr/>
            </w:pPr>
            <w:r>
              <w:rPr/>
              <w:t>Allocate the transaction price.</w:t>
            </w:r>
          </w:p>
        </w:tc>
      </w:tr>
    </w:tbl>
    <w:p>
      <w:pPr>
        <w:pStyle w:val="TextBody"/>
        <w:bidi w:val="0"/>
        <w:spacing w:before="0" w:after="283"/>
        <w:jc w:val="left"/>
        <w:rPr/>
      </w:pPr>
      <w:r>
        <w:rPr/>
        <w:t> </w:t>
      </w:r>
    </w:p>
    <w:tbl>
      <w:tblPr>
        <w:tblW w:w="6888" w:type="dxa"/>
        <w:jc w:val="left"/>
        <w:tblInd w:w="0" w:type="dxa"/>
        <w:tblLayout w:type="fixed"/>
        <w:tblCellMar>
          <w:top w:w="0" w:type="dxa"/>
          <w:left w:w="0" w:type="dxa"/>
          <w:bottom w:w="0" w:type="dxa"/>
          <w:right w:w="0" w:type="dxa"/>
        </w:tblCellMar>
      </w:tblPr>
      <w:tblGrid>
        <w:gridCol w:w="38"/>
        <w:gridCol w:w="215"/>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5)</w:t>
            </w:r>
          </w:p>
        </w:tc>
        <w:tc>
          <w:tcPr>
            <w:tcW w:w="6635" w:type="dxa"/>
            <w:tcBorders/>
            <w:vAlign w:val="center"/>
          </w:tcPr>
          <w:p>
            <w:pPr>
              <w:pStyle w:val="TableContents"/>
              <w:bidi w:val="0"/>
              <w:spacing w:before="0" w:after="283"/>
              <w:jc w:val="both"/>
              <w:rPr/>
            </w:pPr>
            <w:r>
              <w:rPr/>
              <w:t>Recognize revenue when the entity satisfies a performance obligation.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sources of revenue are from the sale of Smart Stores and, once fully commercialized, recurring subscription fees for its SaaS platform and related maintenance and support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Smart Stores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the sale of Smart Stores is recognized at a point in time, generally upon delivery when control of the Smart Store transfers to the customer. Smart Store arrangements typically require that the customer also enter into a SaaS subscription agreement, as the SaaS platform is essential to the full operation of the Smart Store.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SaaS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SaaS platform provides customers with cloud-based inventory management, artificial intelligence–driven personalization, and autonomous operating functionality. The Company has concluded that SaaS services are a distinct performance obligation within the context of the contract and while the SaaS platform is necessary for operation, it is capable of being distinct and separately identifiable. Revenue from SaaS arrangements will be recognized ratably over the term of the subscription agreement, which is generally one year, as the services are provided. To date, however, the Company has not charged customers for SaaS services in connection with its initial Smart Store deployments. These services have been provided at no cost as part of the Company’s early-stage commercialization strategy, and accordingly, no revenue related to SaaS services has been recognized for the periods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Maintenance and Support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may elect to enter into maintenance and support agreements or alternatively request services from the Company on an ad hoc, pay-as-needed basis. Maintenance and support services, when provided under a contractual arrangement, are accounted for as a separate performance obligation and recognized ratably over the term of the contract. Similar to SaaS, the Company has not charged its initial store customers for maintenance services to date, and no revenue has been recognized for these services for the periods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Licensing of Intellectual Property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the Company does not license its intellectual property separately from Smart Store sales. Should the Company enter into licensing arrangements in the future, such arrangements will be evaluated to determine whether they provide a right to use or a right to access the Company’s intellectual property and revenue will be recognized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evaluation under ASC 606-10-25-19 through 25-22 determined that while the Smart Store and SaaS are each capable of being distinct, the SaaS platform is essential to the full operation of the Smart Store, as disclosed in the Smart Store revenue recognition policy. As noted above, the Company has not recognized revenue for SaaS or maintenance services for the periods presented because such services were provided free of charge. Revenue is recognized at a point in time or over time, depending on the nature of the performance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charged customers for SaaS or maintenance services in connection with its initial Smart Store deployments; accordingly, no revenue related to SaaS or maintenance services has been recognized. The Company expects to begin charging for such services in the future and will recognize revenue over the service period in accordance with ASC 606.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SaaS subscription agreements in connection with the opening of its North Hollywood, Glendale and Hollywood Smart Stores. Although SaaS is a distinct performance obligation under ASC 606, the Company elected to provide such services free of charge as part of its early commercialization strategy. Accordingly, while the contracts were identified and performance obligations allocated, the transaction price attributable to SaaS was zero, and no SaaS revenue was recognized for the three and six months ended June 30, 2026 or 2025. Management expects that, in future periods, SaaS services will be billed and revenue recognized ratably over the contract term as the services are provided.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ASC 606-10-25-19 through 22, we considered whether the customer can benefit from the good or service either on its own or together with other readily available resources; and the good or service is separately identifiable from other promises in the contract.</w:t>
      </w:r>
    </w:p>
    <w:p>
      <w:pPr>
        <w:pStyle w:val="TextBody"/>
        <w:bidi w:val="0"/>
        <w:spacing w:before="0" w:after="0"/>
        <w:ind w:left="87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each contract is distinct from each other and stand alone, the Company has determined that each is a separate performance obligation and not bundled together.</w:t>
      </w:r>
    </w:p>
    <w:p>
      <w:pPr>
        <w:pStyle w:val="TextBody"/>
        <w:bidi w:val="0"/>
        <w:spacing w:before="0" w:after="0"/>
        <w:ind w:left="87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 sales, revenue is typically recognized at the point in time when control is transferred, which generally occurs upon shipment or delivery, depending on the terms of the contract. For services or subscription-based contracts, revenue is recognized over time as the services are rendered.</w:t>
      </w:r>
    </w:p>
    <w:p>
      <w:pPr>
        <w:pStyle w:val="TextBody"/>
        <w:bidi w:val="0"/>
        <w:spacing w:before="0" w:after="0"/>
        <w:ind w:left="87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based on the nature of the goods or services, geographical region, and timing of revenue recognition, as presented below:</w:t>
      </w:r>
    </w:p>
    <w:p>
      <w:pPr>
        <w:pStyle w:val="TextBody"/>
        <w:bidi w:val="0"/>
        <w:spacing w:before="0" w:after="0"/>
        <w:ind w:left="879" w:right="0" w:hanging="0"/>
        <w:jc w:val="both"/>
        <w:rPr>
          <w:caps w:val="false"/>
          <w:smallCaps w:val="false"/>
        </w:rPr>
      </w:pPr>
      <w:r>
        <w:rPr>
          <w:caps w:val="false"/>
          <w:smallCaps w:val="false"/>
        </w:rPr>
        <w:t> </w:t>
      </w:r>
    </w:p>
    <w:tbl>
      <w:tblPr>
        <w:tblW w:w="5781" w:type="dxa"/>
        <w:jc w:val="left"/>
        <w:tblInd w:w="0" w:type="dxa"/>
        <w:tblLayout w:type="fixed"/>
        <w:tblCellMar>
          <w:top w:w="0" w:type="dxa"/>
          <w:left w:w="0" w:type="dxa"/>
          <w:bottom w:w="0" w:type="dxa"/>
          <w:right w:w="0" w:type="dxa"/>
        </w:tblCellMar>
      </w:tblPr>
      <w:tblGrid>
        <w:gridCol w:w="2810"/>
        <w:gridCol w:w="60"/>
        <w:gridCol w:w="225"/>
        <w:gridCol w:w="1097"/>
        <w:gridCol w:w="96"/>
        <w:gridCol w:w="96"/>
        <w:gridCol w:w="225"/>
        <w:gridCol w:w="1097"/>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r>
          </w:p>
        </w:tc>
        <w:tc>
          <w:tcPr>
            <w:tcW w:w="75" w:type="dxa"/>
            <w:tcBorders/>
            <w:vAlign w:val="center"/>
          </w:tcPr>
          <w:p>
            <w:pPr>
              <w:pStyle w:val="TableContents"/>
              <w:bidi w:val="0"/>
              <w:spacing w:before="0" w:after="283"/>
              <w:jc w:val="left"/>
              <w:rPr/>
            </w:pPr>
            <w:r>
              <w:rPr/>
              <w:t> </w:t>
            </w:r>
          </w:p>
        </w:tc>
      </w:tr>
      <w:tr>
        <w:trPr/>
        <w:tc>
          <w:tcPr>
            <w:tcW w:w="2810" w:type="dxa"/>
            <w:tcBorders>
              <w:bottom w:val="single" w:sz="12" w:space="0" w:color="000000"/>
            </w:tcBorders>
            <w:tcMar>
              <w:bottom w:w="28" w:type="dxa"/>
            </w:tcMar>
            <w:vAlign w:val="center"/>
          </w:tcPr>
          <w:p>
            <w:pPr>
              <w:pStyle w:val="TableContents"/>
              <w:bidi w:val="0"/>
              <w:spacing w:before="0" w:after="283"/>
              <w:jc w:val="left"/>
              <w:rPr>
                <w:b/>
              </w:rPr>
            </w:pPr>
            <w:r>
              <w:rPr>
                <w:b/>
              </w:rPr>
              <w:t>Timing of Recognition</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Point in Time - Store Sales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Point in Time - Product Sales</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FFFFFF" w:val="clear"/>
            <w:tcMar>
              <w:bottom w:w="28" w:type="dxa"/>
            </w:tcMar>
            <w:vAlign w:val="center"/>
          </w:tcPr>
          <w:p>
            <w:pPr>
              <w:pStyle w:val="TableContents"/>
              <w:bidi w:val="0"/>
              <w:spacing w:before="0" w:after="283"/>
              <w:jc w:val="right"/>
              <w:rPr/>
            </w:pPr>
            <w:r>
              <w:rPr/>
              <w:t>86,614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FFFFFF" w:val="clear"/>
            <w:tcMar>
              <w:bottom w:w="28" w:type="dxa"/>
            </w:tcMar>
            <w:vAlign w:val="center"/>
          </w:tcPr>
          <w:p>
            <w:pPr>
              <w:pStyle w:val="TableContents"/>
              <w:bidi w:val="0"/>
              <w:spacing w:before="0" w:after="283"/>
              <w:jc w:val="right"/>
              <w:rPr/>
            </w:pPr>
            <w:r>
              <w:rPr/>
              <w:t>13,615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CCEEFF" w:val="clear"/>
            <w:tcMar>
              <w:bottom w:w="28" w:type="dxa"/>
            </w:tcMar>
            <w:vAlign w:val="center"/>
          </w:tcPr>
          <w:p>
            <w:pPr>
              <w:pStyle w:val="TableContents"/>
              <w:bidi w:val="0"/>
              <w:spacing w:before="0" w:after="283"/>
              <w:jc w:val="right"/>
              <w:rPr/>
            </w:pPr>
            <w:r>
              <w:rPr/>
              <w:t>86,614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7" w:type="dxa"/>
            <w:tcBorders>
              <w:bottom w:val="double" w:sz="10" w:space="0" w:color="000000"/>
            </w:tcBorders>
            <w:shd w:fill="CCEEFF" w:val="clear"/>
            <w:tcMar>
              <w:bottom w:w="28" w:type="dxa"/>
            </w:tcMar>
            <w:vAlign w:val="center"/>
          </w:tcPr>
          <w:p>
            <w:pPr>
              <w:pStyle w:val="TableContents"/>
              <w:bidi w:val="0"/>
              <w:spacing w:before="0" w:after="283"/>
              <w:jc w:val="right"/>
              <w:rPr/>
            </w:pPr>
            <w:r>
              <w:rPr/>
              <w:t>13,615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879" w:right="0" w:hanging="0"/>
        <w:jc w:val="both"/>
        <w:rPr>
          <w:caps w:val="false"/>
          <w:smallCaps w:val="false"/>
        </w:rPr>
      </w:pPr>
      <w:r>
        <w:rPr>
          <w:caps w:val="false"/>
          <w:smallCaps w:val="false"/>
        </w:rPr>
        <w:t> </w:t>
      </w:r>
    </w:p>
    <w:tbl>
      <w:tblPr>
        <w:tblW w:w="5527" w:type="dxa"/>
        <w:jc w:val="left"/>
        <w:tblInd w:w="0" w:type="dxa"/>
        <w:tblLayout w:type="fixed"/>
        <w:tblCellMar>
          <w:top w:w="0" w:type="dxa"/>
          <w:left w:w="0" w:type="dxa"/>
          <w:bottom w:w="0" w:type="dxa"/>
          <w:right w:w="0" w:type="dxa"/>
        </w:tblCellMar>
      </w:tblPr>
      <w:tblGrid>
        <w:gridCol w:w="2810"/>
        <w:gridCol w:w="60"/>
        <w:gridCol w:w="180"/>
        <w:gridCol w:w="1034"/>
        <w:gridCol w:w="77"/>
        <w:gridCol w:w="77"/>
        <w:gridCol w:w="180"/>
        <w:gridCol w:w="1034"/>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2810" w:type="dxa"/>
            <w:tcBorders>
              <w:bottom w:val="single" w:sz="12" w:space="0" w:color="000000"/>
            </w:tcBorders>
            <w:tcMar>
              <w:bottom w:w="28" w:type="dxa"/>
            </w:tcMar>
            <w:vAlign w:val="center"/>
          </w:tcPr>
          <w:p>
            <w:pPr>
              <w:pStyle w:val="TableContents"/>
              <w:bidi w:val="0"/>
              <w:spacing w:before="0" w:after="283"/>
              <w:jc w:val="left"/>
              <w:rPr>
                <w:b/>
              </w:rPr>
            </w:pPr>
            <w:r>
              <w:rPr>
                <w:b/>
              </w:rPr>
              <w:t>Timing of Recognition</w:t>
            </w:r>
          </w:p>
        </w:tc>
        <w:tc>
          <w:tcPr>
            <w:tcW w:w="60" w:type="dxa"/>
            <w:tcBorders/>
            <w:vAlign w:val="center"/>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Point in Time - Store Sales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500,000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Point in Time - Product Sales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154,450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13,615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154,450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513,615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87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Organizational Costs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720, organizational costs, including accounting fees, legal fee, and costs of incorporation, are expensed as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expenses advertising costs as they are incurred. The Company incurred $184,428 and $263,375 in advertising expense for the three months ended June 30, 2026, and 2025, respectively. For the six months ended June 30, 2026 and 2025 the Company incurred $825,369 and $404,363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costs are charged to operations when incurred and are included in operating expenses. All research and development costs relate to developing our smart store technology. Costs incurred for the three months ended June 30, 2026, and 2025, were $182,603 and $131,016 respectively. For the six months ended June 30, 2026 and 2025, research and development costs were $271,318 and $432,371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met the criteria for capitalization of costs related to products to be sold at the beginning of the first quarter of 2025. The smart store is ready for commercial production which is supported by conclusive design approvals, market testing, and validated production processes. Subsequent costs incurred to set up production and the transition to a commercial production phase began resulting in capitalization of product costs, rather than expensing them as research and development. See our inventory accounting policy for further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expense for its share-based compensation based on the fair value of the awards at the time they are granted. For the purposes of estimating share-based compensation expense for these awards, the Company estimates the fair value of common stock issued at or near the date of grant using a combination of an income approach and a market approach under Section 409A of the United States Internal Revenue Code. Share-based compensation is included in general and administrative expenses. Refer to Note 7 for more information.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previously issued convertible promissory notes with an aggregate principal balance of $4,000,000. The Company elected to account for these notes under the fair value option in accordance with ASC 825, Financial Instruments, in order to simplify the accounting for embedded derivative features, including contingent call and put options, and to reflect the instruments at fair value in their entirety.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convertible notes were recognized in earnings.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notes was determined using a combination of valuation techniques, including a Black-Scholes option pricing model for embedded derivative features and market-based inputs such as interest rates. These measurements were classified as Level 3 within the fair value hierarchy due to the use of significant unobservable inputs.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repaid all outstanding amounts under the convertible notes. As a result, no convertible note liability remained outstanding as of June 30, 2026. Any remaining effects of prior fair value adjustments and financing costs associated with the notes were recognized in the statement of operations upon repayment.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presented, the Company recognized changes in the fair value of the convertible notes, including amounts attributable to instrument-specific credit risk. The fair value of the convertible notes was subject to significant estimation uncertainty, and changes in key assumptions could have resulted in material fluctuations in the Company’s results of operations.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refer to Note 9 and Note 10.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Development Costs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costs of computer software to be sold, leased, or otherwise marketed in accordance with ASC 985-20, </w:t>
      </w:r>
      <w:r>
        <w:rPr>
          <w:rFonts w:ascii="Times New Roman;Times;Serif" w:hAnsi="Times New Roman;Times;Serif"/>
          <w:b w:val="false"/>
          <w:i/>
          <w:caps w:val="false"/>
          <w:smallCaps w:val="false"/>
          <w:sz w:val="20"/>
        </w:rPr>
        <w:t>Costs of Software to Be Sold, Leased, or Marketed</w:t>
      </w:r>
      <w:r>
        <w:rPr>
          <w:rFonts w:ascii="Times New Roman;Times;Serif" w:hAnsi="Times New Roman;Times;Serif"/>
          <w:b w:val="false"/>
          <w:i w:val="false"/>
          <w:caps w:val="false"/>
          <w:smallCaps w:val="false"/>
          <w:sz w:val="20"/>
        </w:rPr>
        <w:t>. Software development costs incurred prior to the establishment of technological feasibility are expensed as incurred. Once technological feasibility is established, costs incurred in the development of the product are capitalized until the product is available for general release to customers.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software costs are amortized over the estimated economic life of the related product, which generally ranges from five to seven years, using the greater of (i) the ratio of current period revenues to the total of current and anticipated future revenues for the product or (ii) the straight-line method. The Company evaluates capitalized software costs for recoverability whenever events or changes in circumstances indicate that the carrying amount may not be recoverable.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capitalized software development costs totaled $95,277, which is incorporated in Property Plant and Equipment, net. There was $6,014 and $12,028 of amortization for the three and six months ended June 30, 2026 and no amortization for the three and six months ended June 30, 2025. There was $107,306 of capitalized software development costs at December 31, 2025.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(“ASU 2023-07”). ASU 2023-07 requires annual and interim disclosure of significant segment expenses that are regularly provided to the chief operating decision maker (“CODM”), the disclosure and description of other segment items, the inclusion of all current annual disclosures about a reportable segment in interim periods, allows for disclosure of multiple measures of a reportable segment’s profit or loss, requires disclosure of the CODM’s title and position, and requires a description of how the CODM uses reported measures in assessing the performance of reportable segments and in making decisions pertaining to allocation of resources. ASU 2023-07 is effective for annual periods beginning after December 15, 2023, and interim periods within fiscal years beginning after December 15, 2024, with early adoption permitted. The Company has adopted this standard. See Note 11 for further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ASU 2023-09 requires the annual disclosure of specific categories in the rate reconciliation and additional information for the reconciling items that meet a quantitative threshold (if the effect of those reconciling items is equal to or greater than 5 percent of the amount computed by multiplying pretax income or loss by the applicable statutory income tax rate). ASU 2023-09 is effective for annual periods beginning after December 15, 2024, with early adoption permitted for annual financial statements that have not yet been issued or made available for issuance. The Company has adopted this standard.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In January 2025 the FASB issued ASU 2025-01, which revised the effective date to December 15, 2027. We are currently evaluating the impact of adopting this standard on our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Accounting Standards Update (“ASU”) No. 2024-04, Debt with Conversion and Other Options (Subtopic 470-20): Induced Conversions of Convertible Debt Instruments, which clarify the requirements related to accounting for the settlement of a debt as an induced conversion. ASU 2024-04 is intended to improve the relevance and consistency in application of the induced conversion guidance in Subtopic 470-20 for convertible debt instruments with cash conversion features and debt instruments that are not currently convertible. ASU 2024-04 is effective for fiscal years beginning after December 15, 2025, with early adoption permitted. We are currently evaluating the impact of this ASU on our financial statements and disclosures.</w:t>
      </w:r>
    </w:p>
    <w:p>
      <w:pPr>
        <w:pStyle w:val="TextBody"/>
        <w:bidi w:val="0"/>
        <w:spacing w:before="0" w:after="0"/>
        <w:ind w:left="720" w:right="0" w:hanging="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20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4700"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recognized settlement expense of $269,000 related to the resolution of certain legal and commercial matters. The settlement expense is included within other expenses in the accompanying condensed consolidated statements of operations. The settlement obligations were satisfied during the quarter, and accordingly, there was no outstanding settlement liability related to these matters as of June 30, 2026.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16, 2025, the Company entered into a settlement agreement with Target Global Acquisition I Corp. Pursuant to the Settlement and Release Agreement, the Parties mutually agreed to terminate the Agreement and Plan of Merger, by and among Venhub and TGAA Parties, dated as of December 2, 2024. On May 21, 2025, the full Settlement Consideration was delivered, and the Business Combination Agreement was terminated in accordance with their terms (subject to the survival of certain confidentiality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termination, the Parties agreed to the following consideration to be provided to TGAA:</w:t>
      </w:r>
    </w:p>
    <w:p>
      <w:pPr>
        <w:pStyle w:val="TextBody"/>
        <w:bidi w:val="0"/>
        <w:spacing w:before="0" w:after="0"/>
        <w:ind w:left="720" w:right="0" w:hanging="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70"/>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pPr>
            <w:r>
              <w:rPr/>
              <w:t>$225,000 in cash;</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secured promissory note in an amount equal to $2,500,000 with a 4% annual interest rate compounding semi-annually with a maturity date of May 16, 2030</w:t>
            </w:r>
          </w:p>
        </w:tc>
      </w:tr>
    </w:tbl>
    <w:p>
      <w:pPr>
        <w:pStyle w:val="TextBody"/>
        <w:bidi w:val="0"/>
        <w:spacing w:before="0" w:after="0"/>
        <w:ind w:left="72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3,462,375 shares of Venhub common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the settlement in accordance with ASC 450, Contingencies, when the loss became probable and reasonably estimable. The secured promissory note contained customary representations, covenants and events of default, including payment defaults, bankruptcy or insolvency events, material breaches of the note agreement and certain cross-default provisions, which entitled the holder to accelerate amounts outstanding upon the occurrence of an event of default.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promissory note had been paid in full, and no obligations remained outstanding under the settlement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6 for lease commitments.</w:t>
      </w:r>
    </w:p>
    <w:p>
      <w:pPr>
        <w:pStyle w:val="TextBody"/>
        <w:bidi w:val="0"/>
        <w:spacing w:before="0" w:after="0"/>
        <w:ind w:left="720" w:right="0" w:hanging="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20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4160"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the Company’s President, are married. The marital relationship between these two executive officers represents a related-party relationship under ASC 850-10-50-1.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both individuals serve in executive leadership positions, all compensation with each officer has been approved by the Company’s Board of Directors, excluding the related parties, to ensure such arrangements are on terms deemed reasonable and consistent with arms-length practices.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notes signed with the CEO are unsecured and due on demand: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2026, the CEO signed a promissory note with the Company for $250,000.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21, 2026, the CEO signed a promissory note with the Company for $250,000.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27, 2026, the CEO signed a promissory note with the Company for $450,000.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3, 2026, the CEO signed a promissory note with the Company for $100,000.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2026, the CEO signed a promissory note with the Company for $50,000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notes expire at the annual date from issuance and accrue interest at 7% per annum.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total of related party loans to our CEO is $2,100,000. At December 31, 2025 the balance was $1,000,000.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Chief Executive Officer had $1,002,633, the President $1,263,645 and the Chief Financial Officer $83,000, respectively, in accrued compensation that they have voluntarily deferred until future periods. Payments of $75,000 and $45,000 were made to the President and Chief Financial Officer respectively during the three months ended June 30, 2026. For the six months ended June 30, 2026 payments of $300,000, $294,688 and $115,000 were made to the Chief Executive Officer, President and Chief Financial Officer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of $60,000 and $18,000 were made to the President and Chief Financial Officer respectively for the three months ended June 30, 2025. For the six months ended June 30, 2025 payments of $195,000 and $36,000 were made to the President and Chief Financial Officer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2025, the Chief Executive Officer had $802,633, the President $1,195,833 and the Chief Financial Officer $116,022, respectively, in accrued compensation that they have voluntarily deferred until future periods.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engaged an immediate family member of its Chief Executive Officer to provide operational consulting services. Compensation paid to the employee during the three and six months ended June 30, 2026, was $87,500. The compensation was determined based on the services performed and is included within operating expenses in the accompanying condensed consolidated financial statements. As of June 30, 2026, there were no amounts due to or from this related party. </w:t>
      </w:r>
    </w:p>
    <w:p>
      <w:pPr>
        <w:pStyle w:val="TextBody"/>
        <w:bidi w:val="0"/>
        <w:spacing w:before="0" w:after="0"/>
        <w:ind w:left="72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3470" w:type="dxa"/>
            <w:tcBorders/>
            <w:vAlign w:val="center"/>
          </w:tcPr>
          <w:p>
            <w:pPr>
              <w:pStyle w:val="TableContents"/>
              <w:bidi w:val="0"/>
              <w:spacing w:before="0" w:after="283"/>
              <w:jc w:val="both"/>
              <w:rPr>
                <w:b/>
              </w:rPr>
            </w:pPr>
            <w:r>
              <w:rPr>
                <w:b/>
              </w:rPr>
              <w:t>CROWDFUNDING OFFERING</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its offering (the “Crowdfunded Offering”) for up to $5,000,000 of Preferred Stock B class shares on September 3, 2025. The Company achieved the minimum raise as of December 31, 2025. There were 81,273 shares issued at $9.94 a share for year ended December 31, 2025, totaling net proceeds of $795,891. The Company issued a total of 276,065 shares for the year ended December 31, 2024, from $5.93 to $9.94 a share for net proceeds of $1,529,803. At conclusion of the crowdfunding there was a total of 675,015 shares issued for total net proceeds of $2,735,671. </w:t>
      </w:r>
    </w:p>
    <w:p>
      <w:pPr>
        <w:pStyle w:val="TextBody"/>
        <w:bidi w:val="0"/>
        <w:spacing w:before="0" w:after="0"/>
        <w:ind w:left="720" w:right="0" w:hanging="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0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980" w:type="dxa"/>
            <w:tcBorders/>
            <w:vAlign w:val="center"/>
          </w:tcPr>
          <w:p>
            <w:pPr>
              <w:pStyle w:val="TableContents"/>
              <w:bidi w:val="0"/>
              <w:spacing w:before="0" w:after="283"/>
              <w:jc w:val="both"/>
              <w:rPr>
                <w:b/>
              </w:rPr>
            </w:pPr>
            <w:r>
              <w:rPr>
                <w:b/>
              </w:rPr>
              <w:t>LEASES</w:t>
            </w:r>
          </w:p>
        </w:tc>
      </w:tr>
    </w:tbl>
    <w:p>
      <w:pPr>
        <w:pStyle w:val="TextBody"/>
        <w:bidi w:val="0"/>
        <w:spacing w:before="0" w:after="0"/>
        <w:ind w:left="87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leases with a term of 12 months or less, the Company is permitted to make an accounting policy election by class of underlying asset not to recognize lease assets and lease liabilities, and we recognize lease expense for such leases on a straight-line basis over the lease term.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the Company signed a lease for new office space in Las Vegas, which is a triple net lease expiring in April 2027 with two option renewal periods totaling up to four additional years that the Company is likely subsequently to exercise.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3, 2025, the Company entered into a kiosk lease agreement with the Los Angeles County Metropolitan Transportation Authority for Kiosk Space 7 and Storage Space 3 located at Union Station East, Los Angeles, California. The lease commenced in November 2025 and has a non-cancelable term of thirty-six (36) months. The lease provides for fixed monthly base rent and fixed additional rent (common area charges), with scheduled increases over the lease term. In addition, the lease requires the Company to pay percentage rent equal to five percent (5%) of gross sales exceeding $25,000 per month. Percentage rent is considered variable lease cost and is not included in the measurement of the lease liability.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analyzed these leases and determined that these agreements meet the definition of a lease under ASU 842, Leases, as it provides management with the exclusive right to direct the use of and obtain substantially all of the economic benefits from the identified leased asset, which is the office space and showroom. Management also analyzed the terms of these arrangements and concluded they should be classified as an operating lease, as none of the criteria were met for finance lease classification. As there was only one identified asset, no allocation of the lease payments was deemed necessary. Management did not incur any initial direct costs associated with this lease. Per review of the lease agreements, there is no implicit rate stated. Therefore, the Company determined the present value of the future minimum lease payments based on the incremental borrowing rate of the Company. The incremental borrowing rate was determined to be 3.82% for Las Vegas and 3.6% for Union Station, as this is the rate which represents the incremental borrowing rate for the Company, on a collateralized basis, in a similar economic environment with similar payment terms.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the Company signed an operating lease for a new warehouse in Bell Gardens, CA. The purpose of the space is to store materials for future store orders and is month to month. The Company vacated this location in May of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29, 2025, the Company signed a right of entry with Los Angeles County Metro Transportation Authority for its flagship Company owned store. The right of entry is month to month with a $1,500 monthly fee. On May 27, 2026 the Company extended this lease to May 26, 2028.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11, 2026, the Company signed an operating lease for new warehouse space in Las Vegas, which is a triple net with a term of one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minimum payments on operating leases for each of the next five years and in the aggregate amount to the following:</w:t>
      </w:r>
    </w:p>
    <w:p>
      <w:pPr>
        <w:pStyle w:val="TextBody"/>
        <w:bidi w:val="0"/>
        <w:spacing w:before="0" w:after="0"/>
        <w:ind w:left="720" w:right="0" w:hanging="0"/>
        <w:jc w:val="both"/>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2900"/>
        <w:gridCol w:w="60"/>
        <w:gridCol w:w="60"/>
        <w:gridCol w:w="980"/>
        <w:gridCol w:w="110"/>
      </w:tblGrid>
      <w:tr>
        <w:trPr/>
        <w:tc>
          <w:tcPr>
            <w:tcW w:w="290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205,680</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269,464</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184,300</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152,458</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152,458</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50,819</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lease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1,015,179</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Less: present value discount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(74,841</w:t>
            </w:r>
          </w:p>
        </w:tc>
        <w:tc>
          <w:tcPr>
            <w:tcW w:w="110"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left"/>
              <w:rPr/>
            </w:pPr>
            <w:r>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940,338</w:t>
            </w:r>
          </w:p>
        </w:tc>
        <w:tc>
          <w:tcPr>
            <w:tcW w:w="11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326,247</w:t>
            </w:r>
          </w:p>
        </w:tc>
        <w:tc>
          <w:tcPr>
            <w:tcW w:w="11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Long term portion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614,091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remaining term of the Company’s operating leases was 4.5 years and the weighted-average discount rate used to measure the present value of the Company’s operating lease liabilities was 5.5% as of June 30,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assets represent the right to use an underlying asset for the lease term and lease liabilities represent the Company’s obligation to make lease payments arising from the lease. Operating lease right of use assets and liabilities are recognized at commencement date based on the present value of lease payments over the lease term. As the Company’s leases do not provide an implicit rate, the Company uses an incremental borrowing rate based on the information available at commencement date in determining the present value of lease payments. The operating lease right of use asset also includes lease incentives. The Company’s lease terms include an option to extend or terminate the lease and it is reasonably certain that the Company will exercise that option to extend. Lease expense for lease payments is recognized on a straight-line basis over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discount rate to use in calculating the present value of lease payments, the Company estimates the rate of interest it would pay on a collateralized loan with the same payment terms as the lease by utilizing bond yields traded in the secondary market to determine the estimated cost of funds for the particular tenor.</w:t>
      </w:r>
    </w:p>
    <w:p>
      <w:pPr>
        <w:pStyle w:val="TextBody"/>
        <w:bidi w:val="0"/>
        <w:spacing w:before="0" w:after="0"/>
        <w:ind w:left="72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0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3830" w:type="dxa"/>
            <w:tcBorders/>
            <w:vAlign w:val="center"/>
          </w:tcPr>
          <w:p>
            <w:pPr>
              <w:pStyle w:val="TableContents"/>
              <w:bidi w:val="0"/>
              <w:spacing w:before="0" w:after="283"/>
              <w:jc w:val="both"/>
              <w:rPr>
                <w:b/>
              </w:rPr>
            </w:pPr>
            <w:r>
              <w:rPr>
                <w:b/>
              </w:rPr>
              <w:t>SHARE BASED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in accordance with ASC 718, Compensation—Stock Compensation. Stock-based compensation expense is measured at the grant-date fair value of the award and recognized in the statement of operations over the requisite service period. For awards that vest immediately upon grant, the Company recognizes the full expense on the grant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common stock issued for services was determined based on contemporaneous third-party valuations of the Company’s common stock or other observable market inputs at the date of issuance.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issued stock to certain third-party contractors and directors of the Company in exchange for services provided. All stock issued to third parties vested immediately upon issuance. The Company issued a total of 5,335,000 and 5,643,500 shares of common stock, recognizing share-based compensation expense for these awards totaling $7,095,550 and $8,366,728 for the three and six months ended June 30, 2026 respectively. The Company issued a total of 66,785 and 1,735,447 shares of common stock recognizing share-based compensation expense for these awards totaling $304,540 and $7,913,639 for the three and six months ended June 30, 2025.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all awards vested immediately upon issuance, the Company had no unrecognized compensation cost related to unvested stock-based awards as of June 30, 2026, and December 31, 2025.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evaluating the adoption of an equity compensation plan intended to provide equity-based incentives to employees, directors, and consultants. Such a plan, if adopted, may be registered on Form S-8 under the Securities Act of 1933, as amended. As of June 30, 2026, no equity compensation plan has been approved or implemented, and no awards have been granted. The timing, terms, and size of any such plan remain subject to approval by the Company’s Board of Directors and, if required, its stockholders.</w:t>
      </w:r>
    </w:p>
    <w:p>
      <w:pPr>
        <w:pStyle w:val="TextBody"/>
        <w:bidi w:val="0"/>
        <w:spacing w:before="0" w:after="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200"/>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4085" w:type="dxa"/>
            <w:tcBorders/>
            <w:vAlign w:val="center"/>
          </w:tcPr>
          <w:p>
            <w:pPr>
              <w:pStyle w:val="TableContents"/>
              <w:bidi w:val="0"/>
              <w:spacing w:before="0" w:after="283"/>
              <w:jc w:val="both"/>
              <w:rPr>
                <w:b/>
              </w:rPr>
            </w:pPr>
            <w:r>
              <w:rPr>
                <w:b/>
              </w:rPr>
              <w:t>STOCK PURCHASE AGREEMENTS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2026 the Company signed two stock purchase agreements with two investors for 25,001 common shares at $12 a share for net proceeds of $300,012. </w:t>
      </w:r>
    </w:p>
    <w:p>
      <w:pPr>
        <w:pStyle w:val="TextBody"/>
        <w:bidi w:val="0"/>
        <w:spacing w:before="0" w:after="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2600" w:type="dxa"/>
            <w:tcBorders/>
            <w:vAlign w:val="center"/>
          </w:tcPr>
          <w:p>
            <w:pPr>
              <w:pStyle w:val="TableContents"/>
              <w:bidi w:val="0"/>
              <w:spacing w:before="0" w:after="283"/>
              <w:jc w:val="both"/>
              <w:rPr>
                <w:b/>
              </w:rPr>
            </w:pPr>
            <w:r>
              <w:rPr>
                <w:b/>
              </w:rPr>
              <w:t>CONVERTIBLE NOTE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16, 2024, December 2, 2024, and February 14, 2025, the Company entered into convertible promissory note purchase agreements with a third-party investor pursuant to which it issued an aggregate principal amount of $4,000,000 of convertible promissory notes in a private placement. The notes bear both payment-in-kind ("PIK") and cash interest, with interest rates that increase over the term of the notes, and mature five years from their respective issuance dates. The notes include customary conversion, redemption, and repayment provisions, including conversion upon certain qualified financing and business combination events, optional redemption rights, and mandatory repayment under specified circumstances. The Company elected the fair value option under ASC 825 for the notes; accordingly, the $100,000 of debt issuance costs incurred upon issuance were recognized as interest expense.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2026, the Company entered into an agreement with certain noteholders to extend the maturity date of the notes to March 31, 2026. In consideration for the extension, the Company issued an aggregate of 2,000,000 shares of its common stock to the noteholders. The Company evaluated the amendment under ASC 470-50, </w:t>
      </w:r>
      <w:r>
        <w:rPr>
          <w:rFonts w:ascii="Times New Roman;Times;Serif" w:hAnsi="Times New Roman;Times;Serif"/>
          <w:b w:val="false"/>
          <w:i/>
          <w:caps w:val="false"/>
          <w:smallCaps w:val="false"/>
          <w:sz w:val="20"/>
        </w:rPr>
        <w:t>Debt Modifications and Extinguishments</w:t>
      </w:r>
      <w:r>
        <w:rPr>
          <w:rFonts w:ascii="Times New Roman;Times;Serif" w:hAnsi="Times New Roman;Times;Serif"/>
          <w:b w:val="false"/>
          <w:i w:val="false"/>
          <w:caps w:val="false"/>
          <w:smallCaps w:val="false"/>
          <w:sz w:val="20"/>
        </w:rPr>
        <w:t xml:space="preserve">, and concluded that the transaction represented a debt modification. Accordingly, the fair value of the common shares issued was recognized as a debt modification cost (recorded as an adjustment to the carrying amount of the modified debt). The Company estimated the fair value of the shares using its most recent valuation of common stock of $5.65 per share, as no intervening events, such as a business combination or qualified financing, had occurred prior to December 31, 2025 that would materially affect the valuation. The resulting debt modification </w:t>
      </w:r>
      <w:r>
        <w:rPr>
          <w:rFonts w:ascii="Times New Roman;Times;Serif" w:hAnsi="Times New Roman;Times;Serif"/>
          <w:b/>
          <w:i w:val="false"/>
          <w:caps w:val="false"/>
          <w:smallCaps w:val="false"/>
          <w:sz w:val="20"/>
        </w:rPr>
        <w:t>cost</w:t>
      </w:r>
      <w:r>
        <w:rPr>
          <w:rFonts w:ascii="Times New Roman;Times;Serif" w:hAnsi="Times New Roman;Times;Serif"/>
          <w:b w:val="false"/>
          <w:i w:val="false"/>
          <w:caps w:val="false"/>
          <w:smallCaps w:val="false"/>
          <w:sz w:val="20"/>
        </w:rPr>
        <w:t xml:space="preserve"> was amortized to interest expense over the extension period ending March 31,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repaid all outstanding amounts under the convertible notes, during the three months ended March 31, 2026. As a result, no convertible note liability remained outstanding as of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$(540,753) and $391,442 of change in fair value of convertible debt through the payoff dates for the three and six months ended June 30, 2026. For the three and six months ended June 30, 2025, the Company recognized $3,849 and $65,414 of change in fair value of convertible debt. </w:t>
      </w:r>
    </w:p>
    <w:p>
      <w:pPr>
        <w:pStyle w:val="TextBody"/>
        <w:bidi w:val="0"/>
        <w:spacing w:before="0" w:after="0"/>
        <w:ind w:left="72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32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3590" w:type="dxa"/>
            <w:tcBorders/>
            <w:vAlign w:val="center"/>
          </w:tcPr>
          <w:p>
            <w:pPr>
              <w:pStyle w:val="TableContents"/>
              <w:bidi w:val="0"/>
              <w:spacing w:before="0" w:after="283"/>
              <w:jc w:val="both"/>
              <w:rPr>
                <w:b/>
              </w:rPr>
            </w:pPr>
            <w:r>
              <w:rPr>
                <w:b/>
              </w:rPr>
              <w:t>FAIR VALUE MEASUREMENT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There were no transfers between fair value measurement levels during the three and six months ended June 30, 2026, or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previously classified as Level 3 liabilities, were repaid during the period and therefore no longer required fair value measurement as of June 30, 2026. The Company’s financial assets and liabilities measured at fair value at December 31, 2025 are as follows:</w:t>
      </w:r>
    </w:p>
    <w:p>
      <w:pPr>
        <w:pStyle w:val="TextBody"/>
        <w:bidi w:val="0"/>
        <w:spacing w:before="0" w:after="0"/>
        <w:jc w:val="both"/>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2780"/>
        <w:gridCol w:w="60"/>
        <w:gridCol w:w="190"/>
        <w:gridCol w:w="699"/>
        <w:gridCol w:w="60"/>
        <w:gridCol w:w="60"/>
        <w:gridCol w:w="190"/>
        <w:gridCol w:w="699"/>
        <w:gridCol w:w="60"/>
        <w:gridCol w:w="60"/>
        <w:gridCol w:w="140"/>
        <w:gridCol w:w="980"/>
        <w:gridCol w:w="60"/>
        <w:gridCol w:w="60"/>
        <w:gridCol w:w="140"/>
        <w:gridCol w:w="980"/>
        <w:gridCol w:w="75"/>
      </w:tblGrid>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7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Measurements as of </w:t>
              <w:br/>
              <w:t>December 31, 2025</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Convertible debt at fair value</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9"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9"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4,567,949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4,567,949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derivative portion of the convertible note was valued using a Black-Scholes simulation model. As a result of the election to apply the fair value option, the value of the conversion feature is not separately presented on the balance sheet.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in determining the fair value of the convertible notes as of December 31, 2025 as follows:</w:t>
      </w:r>
    </w:p>
    <w:p>
      <w:pPr>
        <w:pStyle w:val="TextBody"/>
        <w:bidi w:val="0"/>
        <w:spacing w:before="0" w:after="0"/>
        <w:ind w:left="720" w:right="0" w:hanging="0"/>
        <w:jc w:val="left"/>
        <w:rPr>
          <w:caps w:val="false"/>
          <w:smallCaps w:val="false"/>
        </w:rPr>
      </w:pPr>
      <w:r>
        <w:rPr>
          <w:caps w:val="false"/>
          <w:smallCaps w:val="false"/>
        </w:rPr>
        <w:t> </w:t>
      </w:r>
    </w:p>
    <w:tbl>
      <w:tblPr>
        <w:tblW w:w="3089" w:type="dxa"/>
        <w:jc w:val="left"/>
        <w:tblInd w:w="0" w:type="dxa"/>
        <w:tblLayout w:type="fixed"/>
        <w:tblCellMar>
          <w:top w:w="0" w:type="dxa"/>
          <w:left w:w="0" w:type="dxa"/>
          <w:bottom w:w="0" w:type="dxa"/>
          <w:right w:w="0" w:type="dxa"/>
        </w:tblCellMar>
      </w:tblPr>
      <w:tblGrid>
        <w:gridCol w:w="1445"/>
        <w:gridCol w:w="60"/>
        <w:gridCol w:w="326"/>
        <w:gridCol w:w="1028"/>
        <w:gridCol w:w="230"/>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Risk free right</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3.72</w:t>
            </w:r>
          </w:p>
        </w:tc>
        <w:tc>
          <w:tcPr>
            <w:tcW w:w="230" w:type="dxa"/>
            <w:tcBorders/>
            <w:shd w:fill="CCEEFF" w:val="clear"/>
            <w:vAlign w:val="center"/>
          </w:tcPr>
          <w:p>
            <w:pPr>
              <w:pStyle w:val="TableContents"/>
              <w:bidi w:val="0"/>
              <w:spacing w:before="0" w:after="283"/>
              <w:jc w:val="left"/>
              <w:rPr/>
            </w:pPr>
            <w:r>
              <w:rPr/>
              <w:t>%</w:t>
            </w:r>
          </w:p>
        </w:tc>
      </w:tr>
      <w:tr>
        <w:trPr/>
        <w:tc>
          <w:tcPr>
            <w:tcW w:w="1445" w:type="dxa"/>
            <w:tcBorders/>
            <w:shd w:fill="FFFFFF" w:val="clear"/>
            <w:vAlign w:val="center"/>
          </w:tcPr>
          <w:p>
            <w:pPr>
              <w:pStyle w:val="TableContents"/>
              <w:bidi w:val="0"/>
              <w:spacing w:before="0" w:after="283"/>
              <w:jc w:val="left"/>
              <w:rPr/>
            </w:pPr>
            <w:r>
              <w:rPr/>
              <w:t>Stock price</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w:t>
            </w:r>
          </w:p>
        </w:tc>
        <w:tc>
          <w:tcPr>
            <w:tcW w:w="1028" w:type="dxa"/>
            <w:tcBorders/>
            <w:shd w:fill="FFFFFF" w:val="clear"/>
            <w:vAlign w:val="center"/>
          </w:tcPr>
          <w:p>
            <w:pPr>
              <w:pStyle w:val="TableContents"/>
              <w:bidi w:val="0"/>
              <w:spacing w:before="0" w:after="283"/>
              <w:jc w:val="right"/>
              <w:rPr/>
            </w:pPr>
            <w:r>
              <w:rPr/>
              <w:t>5.65</w:t>
            </w:r>
          </w:p>
        </w:tc>
        <w:tc>
          <w:tcPr>
            <w:tcW w:w="23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144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67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32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2780" w:type="dxa"/>
            <w:tcBorders/>
            <w:vAlign w:val="center"/>
          </w:tcPr>
          <w:p>
            <w:pPr>
              <w:pStyle w:val="TableContents"/>
              <w:bidi w:val="0"/>
              <w:spacing w:before="0" w:after="283"/>
              <w:jc w:val="both"/>
              <w:rPr>
                <w:b/>
              </w:rPr>
            </w:pPr>
            <w:r>
              <w:rPr>
                <w:b/>
              </w:rPr>
              <w:t>SEGMENT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at the consolidated level and therefore operates and reports as a single segment. The Company’s Chief Executive Officer is its Chief Operating Decision Maker (“CODM”). The Company’s CODM assesses significant segment expenses in comparison to forecasts and historical results to make decisions on capital allocation strategies. The measure of segment assets is reported on the balance sheets as total assets. All material long-lived assets are located in the United States.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significant segment expenses that are regularly provided to the CODM for the three and six months ended June 30, 2026 and 2025:</w:t>
      </w:r>
    </w:p>
    <w:p>
      <w:pPr>
        <w:pStyle w:val="TextBody"/>
        <w:bidi w:val="0"/>
        <w:spacing w:before="0" w:after="0"/>
        <w:jc w:val="both"/>
        <w:rPr>
          <w:caps w:val="false"/>
          <w:smallCaps w:val="false"/>
        </w:rPr>
      </w:pPr>
      <w:r>
        <w:rPr>
          <w:caps w:val="false"/>
          <w:smallCaps w:val="false"/>
        </w:rPr>
        <w:t> </w:t>
      </w:r>
    </w:p>
    <w:tbl>
      <w:tblPr>
        <w:tblW w:w="5886" w:type="dxa"/>
        <w:jc w:val="left"/>
        <w:tblInd w:w="0" w:type="dxa"/>
        <w:tblLayout w:type="fixed"/>
        <w:tblCellMar>
          <w:top w:w="0" w:type="dxa"/>
          <w:left w:w="0" w:type="dxa"/>
          <w:bottom w:w="0" w:type="dxa"/>
          <w:right w:w="0" w:type="dxa"/>
        </w:tblCellMar>
      </w:tblPr>
      <w:tblGrid>
        <w:gridCol w:w="3485"/>
        <w:gridCol w:w="60"/>
        <w:gridCol w:w="61"/>
        <w:gridCol w:w="1011"/>
        <w:gridCol w:w="61"/>
        <w:gridCol w:w="61"/>
        <w:gridCol w:w="61"/>
        <w:gridCol w:w="1011"/>
        <w:gridCol w:w="7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8,987,723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1,450,630</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Payroll and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800,603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pPr>
            <w:r>
              <w:rPr/>
              <w:t>317,500</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182,603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131,016</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pPr>
            <w:r>
              <w:rPr/>
              <w:t>9,970,929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pPr>
            <w:r>
              <w:rPr/>
              <w:t>1,899,146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3485"/>
        <w:gridCol w:w="60"/>
        <w:gridCol w:w="60"/>
        <w:gridCol w:w="1100"/>
        <w:gridCol w:w="60"/>
        <w:gridCol w:w="60"/>
        <w:gridCol w:w="60"/>
        <w:gridCol w:w="1100"/>
        <w:gridCol w:w="7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12,879,863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10,187,664</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Payroll and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1,283,103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635,000</w:t>
            </w:r>
          </w:p>
        </w:tc>
        <w:tc>
          <w:tcPr>
            <w:tcW w:w="7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271,318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432,371</w:t>
            </w:r>
          </w:p>
        </w:tc>
        <w:tc>
          <w:tcPr>
            <w:tcW w:w="75"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14,434,284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11,255,035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32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475" w:type="dxa"/>
            <w:tcBorders/>
            <w:vAlign w:val="center"/>
          </w:tcPr>
          <w:p>
            <w:pPr>
              <w:pStyle w:val="TableContents"/>
              <w:bidi w:val="0"/>
              <w:spacing w:before="0" w:after="283"/>
              <w:jc w:val="both"/>
              <w:rPr>
                <w:b/>
              </w:rPr>
            </w:pPr>
            <w:r>
              <w:rPr>
                <w:b/>
              </w:rPr>
              <w:t>WARRANTS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10, 2026, VenHub Global, Inc. (the “Company”) entered into a securities purchase agreement (the “Purchase Agreement”) with an institutional investor, pursuant to which the Company agreed to sell to the investor, and the investor agreed to purchase from the Company, in a private placement offering, an aggregate of (i) 7,700,000 shares (the “Shares”) of the Company’s common stock, par value $0.001 per share (the “Common Stock”), at a purchase price of $2.45 per Share, and (ii) warrants to purchase up to 7,700,000 shares of Common Stock (the “Common Warrants”), for aggregate gross proceeds under the Purchase Agreement of $18,865,000. The Common Warrants have an exercise price of $2.45 per share. The offering closed on February 12, 2026, following satisfaction of customary closing conditions.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 June 30, 2025, the Company entered into subscription agreement with certain investors, providing for the issuance and sale of 405,162 Units, consisting of 810,324 shares of the Company’s Common Stock and 405,162 warrants to purchase up to 405,162 shares of Common Stock (the “Subscriber Warrants”) for a total subscription amount of $3,500,000 (the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Subscriber Warrants have an exercise price of $4.32 per share and expire five years from the date of issuance (June 30, 2030). The Subscriber Warrants exercise price and number of underlying shares may be adjusted for customary antidilution events. The Company analyzed the Subscriber Warrants and determined that they met the requirements under ASC 815-40 to be classified in stockholders’ equity.</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Company allocated proceeds from the Offering to the shares of Common Stock sold and the Warrants issued on a relative fair value basis. </w:t>
      </w:r>
      <w:r>
        <w:rPr>
          <w:rFonts w:ascii="Times New Roman;Times;Serif" w:hAnsi="Times New Roman;Times;Serif"/>
          <w:b w:val="false"/>
          <w:i w:val="false"/>
          <w:caps w:val="false"/>
          <w:smallCaps w:val="false"/>
          <w:sz w:val="20"/>
        </w:rPr>
        <w:t xml:space="preserve">The measurement of fair value of the Subscriber Warrants was determined utilizing a Black-Scholes model considering all relevant assumptions current at the date of issuance (i.e., share price of $4.56, exercise price of $4.32, term of five years, volatility of 46.0%, risk-free rate of 3.8%, and expected dividend rate of 0.0%). The grant date fair value of the Subscriber Warrants was estimated to be $862,000 and is reflected within additional paid-in capital (based on a relative fair value allocation along with the proceeds allocated to the shares of common stock issued) in the Company’s balance sheet as of December 31, 2025. </w:t>
      </w:r>
    </w:p>
    <w:p>
      <w:pPr>
        <w:pStyle w:val="TextBody"/>
        <w:bidi w:val="0"/>
        <w:spacing w:before="0" w:after="0"/>
        <w:ind w:left="720" w:right="0" w:hanging="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32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13.</w:t>
            </w:r>
          </w:p>
        </w:tc>
        <w:tc>
          <w:tcPr>
            <w:tcW w:w="5450" w:type="dxa"/>
            <w:tcBorders/>
            <w:vAlign w:val="center"/>
          </w:tcPr>
          <w:p>
            <w:pPr>
              <w:pStyle w:val="TableContents"/>
              <w:bidi w:val="0"/>
              <w:spacing w:before="0" w:after="283"/>
              <w:jc w:val="both"/>
              <w:rPr>
                <w:b/>
              </w:rPr>
            </w:pPr>
            <w:r>
              <w:rPr>
                <w:b/>
              </w:rPr>
              <w:t>SUPPLEMENTAL CASH FLOW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paid for interest was $117,406 for the six months ended June 30, 2026. For the six months ended June 30, 2025 the Company paid $27,344 in interest. All amounts paid related to the convertible notes.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no cash paid for income taxes for the six months ended June 30, 2026 and 2025.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Non-cash investing and financing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2,000,000 shares of common stock in connection with the extension of convertible notes (see Note 9) and issued 7,700,000 shares and warrants in connection with a private placement financing (see Note 12) for the six months ended June 30, 2026. For the six months ended June 30, 2025 the Company issued 22,529 of series B preferred shares in relation to its crowdfunding and 810,324 shares in connection to warrants.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20" w:right="18"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2026, AND 2025</w:t>
      </w:r>
    </w:p>
    <w:p>
      <w:pPr>
        <w:pStyle w:val="TextBody"/>
        <w:bidi w:val="0"/>
        <w:spacing w:before="0" w:after="0"/>
        <w:ind w:left="720" w:right="0" w:hanging="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32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4550" w:type="dxa"/>
            <w:tcBorders/>
            <w:vAlign w:val="center"/>
          </w:tcPr>
          <w:p>
            <w:pPr>
              <w:pStyle w:val="TableContents"/>
              <w:bidi w:val="0"/>
              <w:spacing w:before="0" w:after="283"/>
              <w:jc w:val="both"/>
              <w:rPr>
                <w:b/>
              </w:rPr>
            </w:pPr>
            <w:r>
              <w:rPr>
                <w:b/>
              </w:rPr>
              <w:t>STOCKHOLDERS WRITTEN CONSENT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Company’s Board of Directors and stockholders holding a majority of the Company’s voting power approved certain corporate actions by written consent. In connection with these actions, the Company filed a Preliminary Information Statement on Schedule 14C with the Securities and Exchange Commission.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approved corporate actions included (i) the adoption of the Company’s 2026 Equity Incentive Plan, (ii) the reservation of shares of the Company’s common stock for issuance under the 2026 Equity Incentive Plan, and (iii) an amendment to the Company’s Certificate of Incorporation to increase the number of authorized shares of common stock from 100,000,000 shares to 300,000,000 shares.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approved corporate actions remained subject to the applicable notice period under Section 14(c) of the Securities Exchange Act of 1934 and, with respect to the increase in authorized common stock, the filing of the applicable amendment to the Company’s Certificate of Incorporation. Accordingly, these actions did not affect the accompanying condensed consolidated financial statements as of and for the three and six months ended June 30, 2026.</w:t>
      </w:r>
    </w:p>
    <w:p>
      <w:pPr>
        <w:pStyle w:val="TextBody"/>
        <w:bidi w:val="0"/>
        <w:spacing w:before="0" w:after="0"/>
        <w:ind w:left="72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42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NASDAQ MINIMUM BID PRICE COMPLIANCE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20, 2026, the Company received a notification letter from The Nasdaq Stock Market LLC indicating that the closing bid price of the Company's common stock had been below the minimum bid price requirement of $1.00 per share for 30 consecutive business days, as required by Nasdaq Listing Rule 5550(a)(2). The notification had no immediate effect on the listing or trading of the Company's common stock.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June 30, 2026, the Company regained compliance with the minimum bid price requirement after the closing bid price of its common stock remained at or above $1.00 per share for the period required under the Nasdaq Listing Rules. Accordingly, Nasdaq notified the Company that it had regained compliance, and the matter is now closed. </w:t>
      </w:r>
    </w:p>
    <w:p>
      <w:pPr>
        <w:pStyle w:val="TextBody"/>
        <w:bidi w:val="0"/>
        <w:spacing w:before="0" w:after="0"/>
        <w:ind w:left="720" w:right="0" w:hanging="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32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the date the condensed consolidated financial statements were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filed a Definitive Information Statement on Schedule 14C with the Securities and Exchange Commission relating to certain corporate actions previously approved by the Company’s Board of Directors and stockholders holding a majority of the Company’s voting power by written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28, 2026, the Company filed the Certificate of Amendment to its Certificate of Incorporation with the Secretary of State of the State of Nevada, thereby increasing the Company’s authorized common stock from 100,000,000 shares to 300,000,000 shares. The increase in authorized common stock did not affect the number of shares of common stock issued and outstanding and did not have an impact on the Company’s condensed consolidated financial position, results of operations, or cash flows as of June 30,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the Company issued an additional 1,000,000 shares of common stock in relation and part of the service agreements signed on June 9,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 w:name="a_002"/>
      <w:bookmarkEnd w:id="8"/>
      <w:r>
        <w:rPr>
          <w:rFonts w:ascii="Times New Roman;Times;Serif" w:hAnsi="Times New Roman;Times;Serif"/>
          <w:b/>
          <w:i w:val="false"/>
          <w:caps w:val="false"/>
          <w:smallCaps w:val="false"/>
          <w:sz w:val="20"/>
        </w:rPr>
        <w:t>VENHUB GLOBAL, INC.’S MANAGEMENT’S DISCUSSION AND ANALYSIS OF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noted “we,” “us,” “our,” “Company,” “VenHub,” refers to VenHub Global, Inc., and its consolidated subsidiaries. You should read the following discussion and analysis in conjunction with VenHub’s consolidated financial statements, which VenHub has prepared in accordance with GAAP, included elsewhere in this proxy statement. This discussion contains forward-looking statements that involve risks and uncertainties. VenHub’s actual results and timing of events could differ materially from those anticipated in these forward-looking statements due to various factors, including those set forth under “Risk Factors” and elsewhere in this proxy statement/prospectus.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Model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four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LLC to manage manufacturing, assembly and installation of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Services LLC to provide software-as-a-service (SaaS) and ongoing maintenance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IP, LLC to hold and manage the Company’s intellectual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Stores LLC, to manage all Company owned stores.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commenced trading under the ticker symbol “VHUB” on the NASDAQ Global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twenty seven full time employees and over 20 independent contractors. The Company will be converting the rest of the independent contractors to full time employees throughout the rest of 2026 using a Professional Employment Organization “PEO”.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reducing the need for employees, VenHub offers store owners labor cost savings, paving the way for potential increased profits. Leveraging sensors, artificial intelligence, and robotics, VenHub promises a shopping adventure that is not only seamless but also deeply personal. With a tap of a smartphone, and let VenHub’s robots whisk you through a journey, from scanning and purchasing products to bagging and delivering them with planned precision.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“Business of VenHub and Certain Information About VenHub,” the Company’s Smart Stores are delivered as fully functional physical autonomous retail units capable of performing core physical and mechanical robotic operations using embedded software installed at deployment. SaaS activation is not required for the Smart Store to perform these core physical functions and is addressed separately pursuant to distinct SaaS agreements as the Company transitions to scaled commercial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the initial deployment phase of its Smart Store platform. While customer agreements contemplate that purchasers will subscribe to the Company’s cloud-based SaaS platform, the enhanced SaaS functionality has not yet been activated for customer use. For early deployments, the Company has implemented an introductory concession under which SaaS subscription fees may be waived for up to twelve months. Accordingly, no SaaS revenue has been recognized to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none of the Company’s deployed Smart Stores have software-as-a-service (“SaaS”) functionality activated, and the Company does not currently provide analytics, dashboards, reporting tools, or other operator-facing software to store owners or operators. Any mobile application functionality is limited to consumer product browsing, ordering, and checkout, is provided free of charge to customers, and is not part of the Company’s SaaS platform. The Company expects to introduce customer-accessible and operator-accessible SaaS functionality in future Smart Store versions under separate commercial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the Company has deployed five (5) Smart Stores, and none of these stores have SaaS functionality activated. Accordingly, five of five (5 of 5), or 100%, of the Company’s deployed Smart Stores are currently operating without SaaS activation.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VenHub was first displayed publicly on October 25, 2023, in Pasadena at the unveiling of its Alpha Smart Store with approximately 150 attendees.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since launched a full assembly production facility in Las Vegas, Nevada to meet the market demand.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core of VenHub will be an intelligent algorithm that understands your unique preferences, by tracking customer tastes and curating a selection that caters specifically to the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VenHub aims to revolutionize the way people shop for their daily necessities, its vision is to create a world where shopping is effortless, convenient and accessible.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sold its first two stores in the first quarter of 2025, with locations in North Hollywood, and Glendale, California respectively. In the second quarter VenHub opened its Company owned flagship store at Los Angeles Airport (LAX) In the third quarter the Company sold a store which opened in Hollywood, CA. VenHub deployed a Company owned store at Union Station Los Angeles during the fourth quarter of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strategy is focused on scaling production and developing recurring revenue streams through SaaS and maintenance services, which are expected to be monetized in future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has limited operating history. The Company was formed as a corporation in 2023. We have limited established business operations, and it is currently unclear, if any, of our current and intended plans may come into fruition and, if they do, which ones will be a success. To date, the Company has incurred net losses and has generated limited revenue. There is no assurance that the Company will ever be able to establish successful business operations, become profitable or generate sufficient revenues to operate our business or pay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failures or security breaches in and inadequate upgrades of, or changes to, our vending machines and its accompanying software could harm our business. The operation of our business depends on sophisticated software, hardware, computer networking and communication services that may contain undetected errors or may be subject to failures or complications. These errors, failures or complications may arise particularly when new, changed or enhanced products or services are added. Future upgrades, improvements or changes that may be necessary to expand and maintain our business could result in delays or disruptions or may not be timely or appropriately made, any of which could seriously harm our operations. Further, certain aspects of the operating systems relating to our business are provided by third parties, including telecommunications. Accordingly, the effectiveness of these operating systems is, to a certain degree, dependent on the actions and decisions of third parties over whom we may have limited control.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depends on key personnel and faces challenges recruiting needed personnel. The Company’s future success depends on the efforts of a small number of key personnel. In addition, due to its limited financial resources and the specialized expertise required, it may not be able to recruit the individuals needed for its business needs. There can be no assurance that the Company will be successful in attracting and retaining the personnel the Company requires to operate and be innovative.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to date has been derived primarily from the sale of Smart Stores and product sales in our Company owned stores. Revenue from Smart Store sales is recognized when control of the unit transfers to the customer, generally upon delivery. The revenue from product sales (items sold through the VenHub store) is recognized when control of the product transfers to the end customer, which generally occurs at the point of sale when the customer completes the transaction and the product is dispensed from the Smart Store.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initial Smart Store deployments, the Company has granted a temporary commercial waiver of SaaS consideration for up to twelve (12) months for initial deployments. During this period, the Company does not provide the enhanced cloud-based functionality contemplated by the agreement. This introductory waiver applies only to SaaS services. For example, during the year ended December 31, 2025, the Company entered into SaaS agreements in connection with the North Hollywood and Glendale Smart Stores. While these agreements were executed, the transaction price allocated to SaaS was zero because the Company elected not to provide such services as part of its early commercialization strategy.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no revenue related to SaaS or maintenance services has been recognized for the periods presented. When implemented, SaaS revenue will be recognized ratably over the subscription term, typically one year, and maintenance revenue will be recognized over the contract period. We believe these services will represent a growing and recurring component of our revenue model in future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Introductory SaaS Concession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early customer adoption and refine the performance of initial deployments, the Company implemented an introductory concession under which customers receive up to twelve months of SaaS access at no charge. During this period, the enhanced cloud-based SaaS functionality has not been activated, and therefore no SaaS revenue has been recognized. The introductory waiver applies only to SaaS services. Because SaaS subscription fees are waived during the introductory period, the transaction price allocated to SaaS is $0 for the periods presented, and all consideration is allocated to the Smart Store hardware in accordance with ASC 606-10-32-28. Maintenance services must be contracted separately and were not contracted for in the periods presented.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revenue arrangements in accordance with ASC 606-10-25-19 through 25-22 and determined that Smart Store hardware, SaaS services, and maintenance services are separate performance obligations. The Smart Store is fully functional upon delivery without SaaS activation, the SaaS platform does not significantly modify or customize the hardware, and the promises are not highly interdependent or interrelated. As a result, Smart Store revenue is recognized at a point in time, while SaaS and maintenance revenues, once activated or contracted, will be recognized over time. For product sales, revenue is typically recognized at the point in time when control is transferred, which generally occurs upon shipment or delivery, depending on the terms of the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sold three stores and is operating two Company owned stores which were operational on June 6, 2025 and November 4, 2025. Since its inception, the Company has experienced recurring losses and, as of June 30, 2026, reported an accumulated deficit of $109,267,588 and negative cash flows from operating activities for the six months then ended. These matters raise substantial doubt about the Company’s ability to continue as a going concern. During the next twelve months, the Company expects to fund its operations primarily through additional capital raising activities, including equity and debt financing and investments from existing and new investors. As the Company continues to commercialize its Smart Stores, it also expects to generate revenue from direct Smart Store sales and, over time, recurring SaaS and related service revenue. The Company expects its reliance on external financing to decrease as revenue from Smart Store sales and recurring services increases. However, the Company has not recognized Smart Store sales revenue during the six months ended June 30, 2026, and there can be no assurance that anticipated Smart Store sales, SaaS revenue, or additional financing will occur on the timing or in the amounts necessary to fund operations. If the Company cannot secure sufficient additional capital or generate sufficient revenue, it may be required to reduce or cease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or estimated realizable value. The Company determines the cost of inventory using the first-in, first-out, or FIFO, method. The Company capitalizes inventory costs associated with the Company’s product based on management’s judgment, future commercialization is considered probable, and the future economic benefit is expected to be realized; otherwise, such costs are expensed as research and development.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Financial Accounting Standards Board (“FASB”) Accounting Standards Codification (“ASC”) Topic 606 – Revenue from Contracts (“ASC 606”) using the 5 step process:</w:t>
      </w:r>
    </w:p>
    <w:p>
      <w:pPr>
        <w:pStyle w:val="TextBody"/>
        <w:bidi w:val="0"/>
        <w:spacing w:before="0" w:after="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18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1)</w:t>
            </w:r>
          </w:p>
        </w:tc>
        <w:tc>
          <w:tcPr>
            <w:tcW w:w="3050" w:type="dxa"/>
            <w:tcBorders/>
            <w:vAlign w:val="center"/>
          </w:tcPr>
          <w:p>
            <w:pPr>
              <w:pStyle w:val="TableContents"/>
              <w:bidi w:val="0"/>
              <w:spacing w:before="0" w:after="283"/>
              <w:jc w:val="both"/>
              <w:rPr>
                <w:sz w:val="20"/>
              </w:rPr>
            </w:pPr>
            <w:r>
              <w:rPr>
                <w:sz w:val="20"/>
              </w:rPr>
              <w:t>Identify the contract with a customer.</w:t>
            </w:r>
          </w:p>
        </w:tc>
      </w:tr>
    </w:tbl>
    <w:p>
      <w:pPr>
        <w:pStyle w:val="TextBody"/>
        <w:bidi w:val="0"/>
        <w:spacing w:before="0" w:after="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8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2)</w:t>
            </w:r>
          </w:p>
        </w:tc>
        <w:tc>
          <w:tcPr>
            <w:tcW w:w="4265" w:type="dxa"/>
            <w:tcBorders/>
            <w:vAlign w:val="center"/>
          </w:tcPr>
          <w:p>
            <w:pPr>
              <w:pStyle w:val="TableContents"/>
              <w:bidi w:val="0"/>
              <w:spacing w:before="0" w:after="283"/>
              <w:jc w:val="both"/>
              <w:rPr>
                <w:sz w:val="20"/>
              </w:rPr>
            </w:pPr>
            <w:r>
              <w:rPr>
                <w:sz w:val="20"/>
              </w:rPr>
              <w:t>Identify the performance obligations in the contract.</w:t>
            </w:r>
          </w:p>
        </w:tc>
      </w:tr>
    </w:tbl>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8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3)</w:t>
            </w:r>
          </w:p>
        </w:tc>
        <w:tc>
          <w:tcPr>
            <w:tcW w:w="2615" w:type="dxa"/>
            <w:tcBorders/>
            <w:vAlign w:val="center"/>
          </w:tcPr>
          <w:p>
            <w:pPr>
              <w:pStyle w:val="TableContents"/>
              <w:bidi w:val="0"/>
              <w:spacing w:before="0" w:after="283"/>
              <w:jc w:val="both"/>
              <w:rPr>
                <w:sz w:val="20"/>
              </w:rPr>
            </w:pPr>
            <w:r>
              <w:rPr>
                <w:sz w:val="20"/>
              </w:rPr>
              <w:t>Determine the transaction price.</w:t>
            </w:r>
          </w:p>
        </w:tc>
      </w:tr>
    </w:tbl>
    <w:p>
      <w:pPr>
        <w:pStyle w:val="TextBody"/>
        <w:bidi w:val="0"/>
        <w:spacing w:before="0" w:after="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85"/>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4)</w:t>
            </w:r>
          </w:p>
        </w:tc>
        <w:tc>
          <w:tcPr>
            <w:tcW w:w="2465" w:type="dxa"/>
            <w:tcBorders/>
            <w:vAlign w:val="center"/>
          </w:tcPr>
          <w:p>
            <w:pPr>
              <w:pStyle w:val="TableContents"/>
              <w:bidi w:val="0"/>
              <w:spacing w:before="0" w:after="283"/>
              <w:jc w:val="both"/>
              <w:rPr>
                <w:sz w:val="20"/>
              </w:rPr>
            </w:pPr>
            <w:r>
              <w:rPr>
                <w:sz w:val="20"/>
              </w:rPr>
              <w:t>Allocate the transaction price.</w:t>
            </w:r>
          </w:p>
        </w:tc>
      </w:tr>
    </w:tbl>
    <w:p>
      <w:pPr>
        <w:pStyle w:val="TextBody"/>
        <w:bidi w:val="0"/>
        <w:spacing w:before="0" w:after="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8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5)</w:t>
            </w:r>
          </w:p>
        </w:tc>
        <w:tc>
          <w:tcPr>
            <w:tcW w:w="5720" w:type="dxa"/>
            <w:tcBorders/>
            <w:vAlign w:val="center"/>
          </w:tcPr>
          <w:p>
            <w:pPr>
              <w:pStyle w:val="TableContents"/>
              <w:bidi w:val="0"/>
              <w:spacing w:before="0" w:after="283"/>
              <w:jc w:val="both"/>
              <w:rPr>
                <w:sz w:val="20"/>
              </w:rPr>
            </w:pPr>
            <w:r>
              <w:rPr>
                <w:sz w:val="20"/>
              </w:rPr>
              <w:t>Recognize revenue when the entity satisfies a performance obligation.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sources of revenue are from the sale of Smart Stores, product sales at the Company owned stores and, once fully commercialized, recurring subscription fees for its SaaS platform and related maintenance and support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recorded at cost and consists primarily of robotics systems, store structures, and related technology infrastructure. Expenditures for renewals and improvements that significantly add to the productive capacity or extend the useful life of an asset are capitalized. Expenditures for maintenance and repairs are expensed as incurred. When equipment is retired or sold, the cost and related accumulated depreciation are eliminated from the balance sheet accounts and the resultant gain or loss is reflected in income. As of June 30, 2026, the Company had $1,343,264 of property and equipment, net. The Company had $1,275,078 of property and equipment, net at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provided using the straight-line method, based on useful lives of the assets, which the Company estimates is 5-7 years. The Company’s property and equipment is comprised of machinery and equipment and leasehold improvements whose useful life is the lesser of the remaining lease term or estimated useful life.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as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The Company had no impairment as of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the costs of constructing and preparing company-owned retail stores and display centers for their intended use. Capitalized costs include expenditures directly attributable to the acquisition, construction, and development of store locations, such as leasehold improvements, construction costs, architectural and design fees, furniture, fixtures, and equipment. Internal payroll and related costs that are directly associated with store development activities are also capitalized.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store or display is placed into service, the assets are depreciated on a straight-line basis over their estimated useful lives, which generally range from five to seven years for furniture, fixtures, and equipment, and over the shorter of the useful life or lease term for leasehold improvements. Routine maintenance and repair costs are expensed as incurred.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indicators of impairment are present, the Company evaluates company-owned stores or display centers for recoverability by comparing the carrying amount of the store assets to the estimated future undiscounted cash flows expected to be generated. If the carrying value exceeds expected cash flows, an impairment charge is recognized equal to the amount by which the carrying value exceeds fair value.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Based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as compensation expense all share-based payment awards made to employees, directors, and consultants including grants of stock, stock options and warrants, based on estimated fair values. Fair value is generally determined based on the closing price of the Company’s common stock on the date of grant and is recognized over the service period.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June 30, 2026 and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and cost of goods sold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revenue, cost of goods sold and gross profit for the three months ended June 30, 2026 and 2025:</w:t>
      </w:r>
    </w:p>
    <w:p>
      <w:pPr>
        <w:pStyle w:val="TextBody"/>
        <w:bidi w:val="0"/>
        <w:spacing w:before="0" w:after="0"/>
        <w:jc w:val="both"/>
        <w:rPr>
          <w:caps w:val="false"/>
          <w:smallCaps w:val="false"/>
        </w:rPr>
      </w:pPr>
      <w:r>
        <w:rPr>
          <w:caps w:val="false"/>
          <w:smallCaps w:val="false"/>
        </w:rPr>
        <w:t> </w:t>
      </w:r>
    </w:p>
    <w:tbl>
      <w:tblPr>
        <w:tblW w:w="8417" w:type="dxa"/>
        <w:jc w:val="left"/>
        <w:tblInd w:w="0" w:type="dxa"/>
        <w:tblLayout w:type="fixed"/>
        <w:tblCellMar>
          <w:top w:w="0" w:type="dxa"/>
          <w:left w:w="0" w:type="dxa"/>
          <w:bottom w:w="0" w:type="dxa"/>
          <w:right w:w="0" w:type="dxa"/>
        </w:tblCellMar>
      </w:tblPr>
      <w:tblGrid>
        <w:gridCol w:w="1805"/>
        <w:gridCol w:w="60"/>
        <w:gridCol w:w="313"/>
        <w:gridCol w:w="1956"/>
        <w:gridCol w:w="290"/>
        <w:gridCol w:w="60"/>
        <w:gridCol w:w="387"/>
        <w:gridCol w:w="1882"/>
        <w:gridCol w:w="215"/>
        <w:gridCol w:w="60"/>
        <w:gridCol w:w="161"/>
        <w:gridCol w:w="923"/>
        <w:gridCol w:w="30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 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Increase</w:t>
              <w:br/>
              <w:t>(Decrease)</w:t>
            </w:r>
          </w:p>
        </w:tc>
        <w:tc>
          <w:tcPr>
            <w:tcW w:w="30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956" w:type="dxa"/>
            <w:tcBorders/>
            <w:shd w:fill="CCEEFF" w:val="clear"/>
            <w:vAlign w:val="center"/>
          </w:tcPr>
          <w:p>
            <w:pPr>
              <w:pStyle w:val="TableContents"/>
              <w:bidi w:val="0"/>
              <w:spacing w:before="0" w:after="283"/>
              <w:jc w:val="right"/>
              <w:rPr/>
            </w:pPr>
            <w:r>
              <w:rPr/>
              <w:t>86,614</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882" w:type="dxa"/>
            <w:tcBorders/>
            <w:shd w:fill="CCEEFF" w:val="clear"/>
            <w:vAlign w:val="center"/>
          </w:tcPr>
          <w:p>
            <w:pPr>
              <w:pStyle w:val="TableContents"/>
              <w:bidi w:val="0"/>
              <w:spacing w:before="0" w:after="283"/>
              <w:jc w:val="right"/>
              <w:rPr/>
            </w:pPr>
            <w:r>
              <w:rPr/>
              <w:t>13,615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72,999</w:t>
            </w:r>
          </w:p>
        </w:tc>
        <w:tc>
          <w:tcPr>
            <w:tcW w:w="30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956" w:type="dxa"/>
            <w:tcBorders/>
            <w:shd w:fill="FFFFFF" w:val="clear"/>
            <w:vAlign w:val="center"/>
          </w:tcPr>
          <w:p>
            <w:pPr>
              <w:pStyle w:val="TableContents"/>
              <w:bidi w:val="0"/>
              <w:spacing w:before="0" w:after="283"/>
              <w:jc w:val="right"/>
              <w:rPr/>
            </w:pPr>
            <w:r>
              <w:rPr/>
              <w:t>299,244</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882" w:type="dxa"/>
            <w:tcBorders/>
            <w:shd w:fill="FFFFFF" w:val="clear"/>
            <w:vAlign w:val="center"/>
          </w:tcPr>
          <w:p>
            <w:pPr>
              <w:pStyle w:val="TableContents"/>
              <w:bidi w:val="0"/>
              <w:spacing w:before="0" w:after="283"/>
              <w:jc w:val="right"/>
              <w:rPr/>
            </w:pPr>
            <w:r>
              <w:rPr/>
              <w:t>6,829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292,415</w:t>
            </w:r>
          </w:p>
        </w:tc>
        <w:tc>
          <w:tcPr>
            <w:tcW w:w="30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956" w:type="dxa"/>
            <w:tcBorders/>
            <w:shd w:fill="CCEEFF" w:val="clear"/>
            <w:vAlign w:val="center"/>
          </w:tcPr>
          <w:p>
            <w:pPr>
              <w:pStyle w:val="TableContents"/>
              <w:bidi w:val="0"/>
              <w:spacing w:before="0" w:after="283"/>
              <w:jc w:val="right"/>
              <w:rPr/>
            </w:pPr>
            <w:r>
              <w:rPr/>
              <w:t>(212,630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w:t>
            </w:r>
          </w:p>
        </w:tc>
        <w:tc>
          <w:tcPr>
            <w:tcW w:w="1882" w:type="dxa"/>
            <w:tcBorders/>
            <w:shd w:fill="CCEEFF" w:val="clear"/>
            <w:vAlign w:val="center"/>
          </w:tcPr>
          <w:p>
            <w:pPr>
              <w:pStyle w:val="TableContents"/>
              <w:bidi w:val="0"/>
              <w:spacing w:before="0" w:after="283"/>
              <w:jc w:val="right"/>
              <w:rPr/>
            </w:pPr>
            <w:r>
              <w:rPr/>
              <w:t>6,786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205,844</w:t>
            </w:r>
          </w:p>
        </w:tc>
        <w:tc>
          <w:tcPr>
            <w:tcW w:w="30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956" w:type="dxa"/>
            <w:tcBorders/>
            <w:shd w:fill="FFFFFF" w:val="clear"/>
            <w:vAlign w:val="center"/>
          </w:tcPr>
          <w:p>
            <w:pPr>
              <w:pStyle w:val="TableContents"/>
              <w:bidi w:val="0"/>
              <w:spacing w:before="0" w:after="283"/>
              <w:jc w:val="right"/>
              <w:rPr/>
            </w:pPr>
            <w:r>
              <w:rPr/>
              <w:t>(245.5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1882" w:type="dxa"/>
            <w:tcBorders/>
            <w:shd w:fill="FFFFFF" w:val="clear"/>
            <w:vAlign w:val="center"/>
          </w:tcPr>
          <w:p>
            <w:pPr>
              <w:pStyle w:val="TableContents"/>
              <w:bidi w:val="0"/>
              <w:spacing w:before="0" w:after="283"/>
              <w:jc w:val="right"/>
              <w:rPr/>
            </w:pPr>
            <w:r>
              <w:rPr/>
              <w:t>49.8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(295.3</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increased $72,99, or approximately 536%, to $86,614 for the three months ended June 30, 2026, compared to $13,615 for the same period in 2025. The increase was primarily attributable to higher customer traffic and transaction volumes at the Company’s company-owned Smart Store locations. During the quarter, the Company implemented promotional pricing initiatives designed to increase customer acquisition, drive sales volume and build brand awareness, which contributed to the increase in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$292,415 to $299,244 for the three months ended June 30, 2026, compared to $6,829 for the same period in 2025. The increase primarily reflects the obsolete inventory write off of $232,134.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gross loss of $212,630 for the three months ended June 30, 2026, compared to a gross profit of $6,786 for the same period in 2025. Gross margin was (245</w:t>
      </w: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compared to 49.8% in the prior-year period. The decrease in gross margin was primarily attributable to obsolete inventory and also. reflecting promotional pricing initiatives implemented during the quarter to increase customer traffic, accelerate sales growth and expand the Company’s customer base.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operating expenses for the three months ended June 30, 2026 and 2025:</w:t>
      </w:r>
    </w:p>
    <w:p>
      <w:pPr>
        <w:pStyle w:val="TextBody"/>
        <w:bidi w:val="0"/>
        <w:spacing w:before="0" w:after="0"/>
        <w:jc w:val="left"/>
        <w:rPr>
          <w:caps w:val="false"/>
          <w:smallCaps w:val="false"/>
        </w:rPr>
      </w:pPr>
      <w:r>
        <w:rPr>
          <w:caps w:val="false"/>
          <w:smallCaps w:val="false"/>
        </w:rPr>
        <w:t> </w:t>
      </w:r>
    </w:p>
    <w:tbl>
      <w:tblPr>
        <w:tblW w:w="8623" w:type="dxa"/>
        <w:jc w:val="left"/>
        <w:tblInd w:w="0" w:type="dxa"/>
        <w:tblLayout w:type="fixed"/>
        <w:tblCellMar>
          <w:top w:w="0" w:type="dxa"/>
          <w:left w:w="0" w:type="dxa"/>
          <w:bottom w:w="28" w:type="dxa"/>
          <w:right w:w="0" w:type="dxa"/>
        </w:tblCellMar>
      </w:tblPr>
      <w:tblGrid>
        <w:gridCol w:w="2675"/>
        <w:gridCol w:w="60"/>
        <w:gridCol w:w="276"/>
        <w:gridCol w:w="1933"/>
        <w:gridCol w:w="60"/>
        <w:gridCol w:w="60"/>
        <w:gridCol w:w="276"/>
        <w:gridCol w:w="1933"/>
        <w:gridCol w:w="60"/>
        <w:gridCol w:w="60"/>
        <w:gridCol w:w="140"/>
        <w:gridCol w:w="980"/>
        <w:gridCol w:w="110"/>
      </w:tblGrid>
      <w:tr>
        <w:trPr/>
        <w:tc>
          <w:tcPr>
            <w:tcW w:w="2675" w:type="dxa"/>
            <w:tcBorders>
              <w:bottom w:val="single" w:sz="12" w:space="0" w:color="000000"/>
            </w:tcBorders>
            <w:vAlign w:val="center"/>
          </w:tcPr>
          <w:p>
            <w:pPr>
              <w:pStyle w:val="TableContents"/>
              <w:bidi w:val="0"/>
              <w:spacing w:before="0" w:after="283"/>
              <w:jc w:val="left"/>
              <w:rPr>
                <w:b/>
              </w:rPr>
            </w:pPr>
            <w:r>
              <w:rPr>
                <w:b/>
              </w:rPr>
              <w:t>Operating Expense</w:t>
            </w:r>
          </w:p>
        </w:tc>
        <w:tc>
          <w:tcPr>
            <w:tcW w:w="60" w:type="dxa"/>
            <w:tcBorders/>
            <w:tcMar>
              <w:bottom w:w="0" w:type="dxa"/>
            </w:tcMar>
            <w:vAlign w:val="center"/>
          </w:tcPr>
          <w:p>
            <w:pPr>
              <w:pStyle w:val="TableContents"/>
              <w:bidi w:val="0"/>
              <w:spacing w:before="0" w:after="283"/>
              <w:jc w:val="left"/>
              <w:rPr/>
            </w:pPr>
            <w:r>
              <w:rPr/>
              <w:t> </w:t>
            </w:r>
          </w:p>
        </w:tc>
        <w:tc>
          <w:tcPr>
            <w:tcW w:w="2209" w:type="dxa"/>
            <w:gridSpan w:val="2"/>
            <w:tcBorders>
              <w:bottom w:val="single" w:sz="12" w:space="0" w:color="000000"/>
            </w:tcBorders>
            <w:vAlign w:val="center"/>
          </w:tcPr>
          <w:p>
            <w:pPr>
              <w:pStyle w:val="TableContents"/>
              <w:bidi w:val="0"/>
              <w:spacing w:before="0" w:after="283"/>
              <w:jc w:val="center"/>
              <w:rPr>
                <w:b/>
              </w:rPr>
            </w:pPr>
            <w:r>
              <w:rPr>
                <w:b/>
              </w:rPr>
              <w:t>Three Months Ended</w:t>
              <w:b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9" w:type="dxa"/>
            <w:gridSpan w:val="2"/>
            <w:tcBorders>
              <w:bottom w:val="single" w:sz="12" w:space="0" w:color="000000"/>
            </w:tcBorders>
            <w:vAlign w:val="center"/>
          </w:tcPr>
          <w:p>
            <w:pPr>
              <w:pStyle w:val="TableContents"/>
              <w:bidi w:val="0"/>
              <w:spacing w:before="0" w:after="283"/>
              <w:jc w:val="center"/>
              <w:rPr>
                <w:b/>
              </w:rPr>
            </w:pPr>
            <w:r>
              <w:rPr>
                <w:b/>
              </w:rPr>
              <w:t>Three Months Ended</w:t>
              <w:br/>
              <w:t>June 30,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 xml:space="preserve">Increase </w:t>
              <w:br/>
              <w:t>(Decrease)</w:t>
            </w:r>
          </w:p>
        </w:tc>
        <w:tc>
          <w:tcPr>
            <w:tcW w:w="110"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933" w:type="dxa"/>
            <w:tcBorders/>
            <w:shd w:fill="CCEEFF" w:val="clear"/>
            <w:tcMar>
              <w:bottom w:w="0" w:type="dxa"/>
            </w:tcMar>
            <w:vAlign w:val="center"/>
          </w:tcPr>
          <w:p>
            <w:pPr>
              <w:pStyle w:val="TableContents"/>
              <w:bidi w:val="0"/>
              <w:spacing w:before="0" w:after="283"/>
              <w:jc w:val="right"/>
              <w:rPr/>
            </w:pPr>
            <w:r>
              <w:rPr/>
              <w:t>7,095,550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933" w:type="dxa"/>
            <w:tcBorders/>
            <w:shd w:fill="CCEEFF" w:val="clear"/>
            <w:tcMar>
              <w:bottom w:w="0" w:type="dxa"/>
            </w:tcMar>
            <w:vAlign w:val="center"/>
          </w:tcPr>
          <w:p>
            <w:pPr>
              <w:pStyle w:val="TableContents"/>
              <w:bidi w:val="0"/>
              <w:spacing w:before="0" w:after="283"/>
              <w:jc w:val="right"/>
              <w:rPr/>
            </w:pPr>
            <w:r>
              <w:rPr/>
              <w:t>304,540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6,791,010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Contractors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683,207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312,571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370,636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482,500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317,500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165,000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182,603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131,016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51,587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Wages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294,353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294,353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Legal and professional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233,980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184,050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49,930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Advertising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184,428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263,375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(78,947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675" w:type="dxa"/>
            <w:tcBorders/>
            <w:shd w:fill="FFFFFF" w:val="clear"/>
            <w:tcMar>
              <w:bottom w:w="0" w:type="dxa"/>
            </w:tcMar>
            <w:vAlign w:val="center"/>
          </w:tcPr>
          <w:p>
            <w:pPr>
              <w:pStyle w:val="TableContents"/>
              <w:bidi w:val="0"/>
              <w:spacing w:before="0" w:after="283"/>
              <w:jc w:val="left"/>
              <w:rPr/>
            </w:pPr>
            <w:r>
              <w:rPr/>
              <w:t>Facilities lease and 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180,750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109,908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70,842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Insurance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135,660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6,413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129,247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Regulatory and compliance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94,125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94,125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Travel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155,335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152,106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3,229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50,445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933" w:type="dxa"/>
            <w:tcBorders/>
            <w:shd w:fill="CCEEFF" w:val="clear"/>
            <w:tcMar>
              <w:bottom w:w="0" w:type="dxa"/>
            </w:tcMar>
            <w:vAlign w:val="center"/>
          </w:tcPr>
          <w:p>
            <w:pPr>
              <w:pStyle w:val="TableContents"/>
              <w:bidi w:val="0"/>
              <w:spacing w:before="0" w:after="283"/>
              <w:jc w:val="right"/>
              <w:rPr/>
            </w:pPr>
            <w:r>
              <w:rPr/>
              <w:t>12,723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37,722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Utilities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36,730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933" w:type="dxa"/>
            <w:tcBorders/>
            <w:shd w:fill="FFFFFF" w:val="clear"/>
            <w:tcMar>
              <w:bottom w:w="0" w:type="dxa"/>
            </w:tcMar>
            <w:vAlign w:val="center"/>
          </w:tcPr>
          <w:p>
            <w:pPr>
              <w:pStyle w:val="TableContents"/>
              <w:bidi w:val="0"/>
              <w:spacing w:before="0" w:after="283"/>
              <w:jc w:val="right"/>
              <w:rPr/>
            </w:pPr>
            <w:r>
              <w:rPr/>
              <w:t>22,901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13,829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Other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vAlign w:val="center"/>
          </w:tcPr>
          <w:p>
            <w:pPr>
              <w:pStyle w:val="TableContents"/>
              <w:bidi w:val="0"/>
              <w:spacing w:before="0" w:after="283"/>
              <w:jc w:val="left"/>
              <w:rPr/>
            </w:pPr>
            <w:r>
              <w:rPr/>
              <w:t> </w:t>
            </w:r>
          </w:p>
        </w:tc>
        <w:tc>
          <w:tcPr>
            <w:tcW w:w="1933" w:type="dxa"/>
            <w:tcBorders>
              <w:bottom w:val="single" w:sz="12" w:space="0" w:color="000000"/>
            </w:tcBorders>
            <w:shd w:fill="CCEEFF" w:val="clear"/>
            <w:vAlign w:val="center"/>
          </w:tcPr>
          <w:p>
            <w:pPr>
              <w:pStyle w:val="TableContents"/>
              <w:bidi w:val="0"/>
              <w:spacing w:before="0" w:after="283"/>
              <w:jc w:val="right"/>
              <w:rPr/>
            </w:pPr>
            <w:r>
              <w:rPr/>
              <w:t>161,263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bottom w:val="single" w:sz="12" w:space="0" w:color="000000"/>
            </w:tcBorders>
            <w:shd w:fill="CCEEFF" w:val="clear"/>
            <w:vAlign w:val="center"/>
          </w:tcPr>
          <w:p>
            <w:pPr>
              <w:pStyle w:val="TableContents"/>
              <w:bidi w:val="0"/>
              <w:spacing w:before="0" w:after="283"/>
              <w:jc w:val="left"/>
              <w:rPr/>
            </w:pPr>
            <w:r>
              <w:rPr/>
              <w:t> </w:t>
            </w:r>
          </w:p>
        </w:tc>
        <w:tc>
          <w:tcPr>
            <w:tcW w:w="1933" w:type="dxa"/>
            <w:tcBorders>
              <w:bottom w:val="single" w:sz="12" w:space="0" w:color="000000"/>
            </w:tcBorders>
            <w:shd w:fill="CCEEFF" w:val="clear"/>
            <w:vAlign w:val="center"/>
          </w:tcPr>
          <w:p>
            <w:pPr>
              <w:pStyle w:val="TableContents"/>
              <w:bidi w:val="0"/>
              <w:spacing w:before="0" w:after="283"/>
              <w:jc w:val="right"/>
              <w:rPr/>
            </w:pPr>
            <w:r>
              <w:rPr/>
              <w:t>82,043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79,220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933" w:type="dxa"/>
            <w:tcBorders>
              <w:bottom w:val="double" w:sz="10" w:space="0" w:color="000000"/>
            </w:tcBorders>
            <w:shd w:fill="FFFFFF" w:val="clear"/>
            <w:vAlign w:val="center"/>
          </w:tcPr>
          <w:p>
            <w:pPr>
              <w:pStyle w:val="TableContents"/>
              <w:bidi w:val="0"/>
              <w:spacing w:before="0" w:after="283"/>
              <w:jc w:val="right"/>
              <w:rPr>
                <w:b/>
              </w:rPr>
            </w:pPr>
            <w:r>
              <w:rPr>
                <w:b/>
              </w:rPr>
              <w:t>9,970,929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933" w:type="dxa"/>
            <w:tcBorders>
              <w:bottom w:val="double" w:sz="10" w:space="0" w:color="000000"/>
            </w:tcBorders>
            <w:shd w:fill="FFFFFF" w:val="clear"/>
            <w:vAlign w:val="center"/>
          </w:tcPr>
          <w:p>
            <w:pPr>
              <w:pStyle w:val="TableContents"/>
              <w:bidi w:val="0"/>
              <w:spacing w:before="0" w:after="283"/>
              <w:jc w:val="right"/>
              <w:rPr>
                <w:b/>
              </w:rPr>
            </w:pPr>
            <w:r>
              <w:rPr>
                <w:b/>
              </w:rPr>
              <w:t>1,899,146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8,071,783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$8.1 million, or 425.0%, to $10.0 million for the three months ended June 30, 2026, compared to $1.9 million for the three months ended June 30, 2025. The increase was primarily attributable to higher non-cash share-based compensation expense, which increased $6.8 million, or 2,230.0%, reflecting equity awards granted to employees, executives, directors and service providers during the quarter as part of the Company's long-term compensation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operating expenses increased $1.3 million, primarily reflecting continued investment in personnel, engineering, manufacturing, technology development and public company infrastructure to support the Company's continued growth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expense increased $370,636, or 118.6%, primarily due to expanded engineering, software development, manufacturing support and operational consulting services required to support continued product development and Smart Store deployment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increased $51,587, or 39.4%, reflecting continued investment in Smart Store technology, software enhancements, automation systems and product development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increased $165,000, or 52.0%, reflecting higher executive compensation accruals during the quarter, while wage expense of $294,353 reflects the continued expansion of the Company's employee workforce to support manufacturing, engineering and corporate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 increased $129,247 due to expanded insurance coverage associated with the Company's growing operations and public company requirements. Regulatory and compliance expense of $94,125 was incurred during the current period as the Company continued to invest in SEC reporting, Nasdaq compliance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lease and rent expense increased $70,842, transportation expense increased $59,295, legal and professional expense increased $49,930, depreciation expense increased $37,722, and utilities expense increased $13,829, reflecting the Company's continued investment in manufacturing capacity, technology infrastructure and operational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expense decreased $78,947, or 30.0%, primarily because the prior-year period included significant crowdfunding and investor awareness campaigns that did not recur during the current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increased $79,220, or 96.6%, primarily due to higher payroll-related costs, repairs and maintenance, office expenses and other administrative costs incurred to support the Company's expanding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decreased to $306,309 for the three months ended June 30, 2026, compared to $18,637,279 for the three months ended June 30, 2025, representing a decrease of $18,330,970, or approximately 98.4%.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was primarily attributable to the absence of the significant $18.5 million settlement expense recognized during the three months ended June 30, 2025, which related to the resolution of legacy legal and financing matters and did not recur in the current-year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other expense consisted primarily of $269,000 of settlement expense associated with current-period matters and $578,062 of interest expense offset by $540,753 of change in fair value of 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reduction in other expense reflects the non-recurring nature of the large settlement recorded in the prior-year period and resulted in substantially lower non-operating expenses during the three months ended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Company reported a net loss of $10.5 million for the three months ended June 30, 2026, compared to a net loss of $20.5 million for the three months ended June 30, 2025. While operating expenses increased year over year, primarily due to non-cash share-based compensation and continued investment in the Company’s growth initiatives, the substantial reduction in settlement expense resulted in an overall improvement in net loss compared to the prior-year period.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six months ended June 30, 2026 and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and cost of goods sold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revenue, cost of goods sold and gross profit for the six months ended June 30, 2026 and 2025:</w:t>
      </w:r>
    </w:p>
    <w:p>
      <w:pPr>
        <w:pStyle w:val="TextBody"/>
        <w:bidi w:val="0"/>
        <w:spacing w:before="0" w:after="0"/>
        <w:jc w:val="left"/>
        <w:rPr>
          <w:caps w:val="false"/>
          <w:smallCaps w:val="false"/>
        </w:rPr>
      </w:pPr>
      <w:r>
        <w:rPr>
          <w:caps w:val="false"/>
          <w:smallCaps w:val="false"/>
        </w:rPr>
        <w:t> </w:t>
      </w:r>
    </w:p>
    <w:tbl>
      <w:tblPr>
        <w:tblW w:w="7817" w:type="dxa"/>
        <w:jc w:val="left"/>
        <w:tblInd w:w="0" w:type="dxa"/>
        <w:tblLayout w:type="fixed"/>
        <w:tblCellMar>
          <w:top w:w="0" w:type="dxa"/>
          <w:left w:w="0" w:type="dxa"/>
          <w:bottom w:w="0" w:type="dxa"/>
          <w:right w:w="0" w:type="dxa"/>
        </w:tblCellMar>
      </w:tblPr>
      <w:tblGrid>
        <w:gridCol w:w="1805"/>
        <w:gridCol w:w="60"/>
        <w:gridCol w:w="271"/>
        <w:gridCol w:w="1698"/>
        <w:gridCol w:w="290"/>
        <w:gridCol w:w="60"/>
        <w:gridCol w:w="293"/>
        <w:gridCol w:w="1676"/>
        <w:gridCol w:w="215"/>
        <w:gridCol w:w="60"/>
        <w:gridCol w:w="149"/>
        <w:gridCol w:w="935"/>
        <w:gridCol w:w="305"/>
      </w:tblGrid>
      <w:tr>
        <w:trPr/>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 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Increase </w:t>
              <w:br/>
              <w:t>(Decrease)</w:t>
            </w:r>
          </w:p>
        </w:tc>
        <w:tc>
          <w:tcPr>
            <w:tcW w:w="30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Sales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698" w:type="dxa"/>
            <w:tcBorders/>
            <w:shd w:fill="CCEEFF" w:val="clear"/>
            <w:vAlign w:val="center"/>
          </w:tcPr>
          <w:p>
            <w:pPr>
              <w:pStyle w:val="TableContents"/>
              <w:bidi w:val="0"/>
              <w:spacing w:before="0" w:after="283"/>
              <w:jc w:val="right"/>
              <w:rPr/>
            </w:pPr>
            <w:r>
              <w:rPr/>
              <w:t>154,450</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676" w:type="dxa"/>
            <w:tcBorders/>
            <w:shd w:fill="CCEEFF" w:val="clear"/>
            <w:vAlign w:val="center"/>
          </w:tcPr>
          <w:p>
            <w:pPr>
              <w:pStyle w:val="TableContents"/>
              <w:bidi w:val="0"/>
              <w:spacing w:before="0" w:after="283"/>
              <w:jc w:val="right"/>
              <w:rPr/>
            </w:pPr>
            <w:r>
              <w:rPr/>
              <w:t>513,615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(359,165</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363,391</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330,217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33,174</w:t>
            </w:r>
          </w:p>
        </w:tc>
        <w:tc>
          <w:tcPr>
            <w:tcW w:w="30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698" w:type="dxa"/>
            <w:tcBorders/>
            <w:shd w:fill="CCEEFF" w:val="clear"/>
            <w:vAlign w:val="center"/>
          </w:tcPr>
          <w:p>
            <w:pPr>
              <w:pStyle w:val="TableContents"/>
              <w:bidi w:val="0"/>
              <w:spacing w:before="0" w:after="283"/>
              <w:jc w:val="right"/>
              <w:rPr/>
            </w:pPr>
            <w:r>
              <w:rPr/>
              <w:t>(208,941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676" w:type="dxa"/>
            <w:tcBorders/>
            <w:shd w:fill="CCEEFF" w:val="clear"/>
            <w:vAlign w:val="center"/>
          </w:tcPr>
          <w:p>
            <w:pPr>
              <w:pStyle w:val="TableContents"/>
              <w:bidi w:val="0"/>
              <w:spacing w:before="0" w:after="283"/>
              <w:jc w:val="right"/>
              <w:rPr/>
            </w:pPr>
            <w:r>
              <w:rPr/>
              <w:t>183,398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(392,339</w:t>
            </w:r>
          </w:p>
        </w:tc>
        <w:tc>
          <w:tcPr>
            <w:tcW w:w="305"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(135,3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676" w:type="dxa"/>
            <w:tcBorders/>
            <w:shd w:fill="FFFFFF" w:val="clear"/>
            <w:vAlign w:val="center"/>
          </w:tcPr>
          <w:p>
            <w:pPr>
              <w:pStyle w:val="TableContents"/>
              <w:bidi w:val="0"/>
              <w:spacing w:before="0" w:after="283"/>
              <w:jc w:val="right"/>
              <w:rPr/>
            </w:pPr>
            <w:r>
              <w:rPr/>
              <w:t>35.7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(171.0</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decreased $359,165, or 69.9%, to $154,450 for the six months ended June 30, 2026, compared to $513,615 for the same period in 2025. The decrease was primarily attributable to only product sales from the Company owned smart stores in 2026, and no revenue from smart store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$33,174, or 10.0%, to $363,391 for the six months ended June 30, 2026, compared to $330,217 for the same period in 2025. The increase primarily reflects the obsolete inventory write off of $232,134.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was $208,941 for the six months ended June 30, 2026, compared to gross profit of $183,398 for the same period in 2025. Gross margin was (135.3%) for the six months ended June 30, 2026, compared to 35.7% for the same period in 2025. The decline in gross margin was primarily attributable to lower sales volumes combined with higher direct operating costs incurred to support the Company's company-owned Smart Store operations and the obsolete inventory. As the Company continues to expand its commercial footprint, management expects gross margins to improve as revenues increase and fixed operating costs are leveraged over a larger sales base.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 summarizes our operating expenses for the six months ended June 30, 2026 and 2025:</w:t>
      </w:r>
    </w:p>
    <w:p>
      <w:pPr>
        <w:pStyle w:val="TextBody"/>
        <w:bidi w:val="0"/>
        <w:spacing w:before="0" w:after="0"/>
        <w:jc w:val="left"/>
        <w:rPr>
          <w:caps w:val="false"/>
          <w:smallCaps w:val="false"/>
        </w:rPr>
      </w:pPr>
      <w:r>
        <w:rPr>
          <w:caps w:val="false"/>
          <w:smallCaps w:val="false"/>
        </w:rPr>
        <w:t> </w:t>
      </w:r>
    </w:p>
    <w:tbl>
      <w:tblPr>
        <w:tblW w:w="8083" w:type="dxa"/>
        <w:jc w:val="left"/>
        <w:tblInd w:w="0" w:type="dxa"/>
        <w:tblLayout w:type="fixed"/>
        <w:tblCellMar>
          <w:top w:w="0" w:type="dxa"/>
          <w:left w:w="0" w:type="dxa"/>
          <w:bottom w:w="28" w:type="dxa"/>
          <w:right w:w="0" w:type="dxa"/>
        </w:tblCellMar>
      </w:tblPr>
      <w:tblGrid>
        <w:gridCol w:w="2675"/>
        <w:gridCol w:w="60"/>
        <w:gridCol w:w="222"/>
        <w:gridCol w:w="1747"/>
        <w:gridCol w:w="60"/>
        <w:gridCol w:w="60"/>
        <w:gridCol w:w="215"/>
        <w:gridCol w:w="1694"/>
        <w:gridCol w:w="60"/>
        <w:gridCol w:w="60"/>
        <w:gridCol w:w="140"/>
        <w:gridCol w:w="980"/>
        <w:gridCol w:w="110"/>
      </w:tblGrid>
      <w:tr>
        <w:trPr/>
        <w:tc>
          <w:tcPr>
            <w:tcW w:w="2675"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center"/>
              <w:rPr>
                <w:b/>
              </w:rPr>
            </w:pPr>
            <w:r>
              <w:rPr>
                <w:b/>
              </w:rPr>
              <w:t xml:space="preserve">Six Months Ended </w:t>
              <w:b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12" w:space="0" w:color="000000"/>
            </w:tcBorders>
            <w:vAlign w:val="center"/>
          </w:tcPr>
          <w:p>
            <w:pPr>
              <w:pStyle w:val="TableContents"/>
              <w:bidi w:val="0"/>
              <w:spacing w:before="0" w:after="283"/>
              <w:jc w:val="center"/>
              <w:rPr>
                <w:b/>
              </w:rPr>
            </w:pPr>
            <w:r>
              <w:rPr>
                <w:b/>
              </w:rPr>
              <w:t>Six Months Ended</w:t>
              <w:br/>
              <w:t>June 30,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Increase</w:t>
              <w:br/>
              <w:t>(Decrease)</w:t>
            </w:r>
          </w:p>
        </w:tc>
        <w:tc>
          <w:tcPr>
            <w:tcW w:w="110"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 </w:t>
            </w:r>
            <w:r>
              <w:rPr/>
              <w:t>Share-based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w:t>
            </w:r>
          </w:p>
        </w:tc>
        <w:tc>
          <w:tcPr>
            <w:tcW w:w="1747" w:type="dxa"/>
            <w:tcBorders/>
            <w:shd w:fill="CCEEFF" w:val="clear"/>
            <w:tcMar>
              <w:bottom w:w="0" w:type="dxa"/>
            </w:tcMar>
            <w:vAlign w:val="center"/>
          </w:tcPr>
          <w:p>
            <w:pPr>
              <w:pStyle w:val="TableContents"/>
              <w:bidi w:val="0"/>
              <w:spacing w:before="0" w:after="283"/>
              <w:jc w:val="right"/>
              <w:rPr/>
            </w:pPr>
            <w:r>
              <w:rPr/>
              <w:t>8,366,728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w:t>
            </w:r>
          </w:p>
        </w:tc>
        <w:tc>
          <w:tcPr>
            <w:tcW w:w="1694" w:type="dxa"/>
            <w:tcBorders/>
            <w:shd w:fill="CCEEFF" w:val="clear"/>
            <w:tcMar>
              <w:bottom w:w="0" w:type="dxa"/>
            </w:tcMar>
            <w:vAlign w:val="center"/>
          </w:tcPr>
          <w:p>
            <w:pPr>
              <w:pStyle w:val="TableContents"/>
              <w:bidi w:val="0"/>
              <w:spacing w:before="0" w:after="283"/>
              <w:jc w:val="right"/>
              <w:rPr/>
            </w:pPr>
            <w:r>
              <w:rPr/>
              <w:t>7,913,639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453,089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Contractors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1,407,942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778,377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629,565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965,000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635,000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330,000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Advertising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825,369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404,363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421,006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Legal and professional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607,049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519,571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87,478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271,318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432,371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(161,503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675" w:type="dxa"/>
            <w:tcBorders/>
            <w:shd w:fill="CCEEFF" w:val="clear"/>
            <w:tcMar>
              <w:bottom w:w="0" w:type="dxa"/>
            </w:tcMar>
            <w:vAlign w:val="center"/>
          </w:tcPr>
          <w:p>
            <w:pPr>
              <w:pStyle w:val="TableContents"/>
              <w:bidi w:val="0"/>
              <w:spacing w:before="0" w:after="283"/>
              <w:jc w:val="left"/>
              <w:rPr/>
            </w:pPr>
            <w:r>
              <w:rPr/>
              <w:t>Travel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476,278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183,449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292,829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Wages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318,103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318,103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Facilities lease and 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315,327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176,288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139,039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Insurance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218,173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12,912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205,261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Regulatory and compliance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188,250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188,250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 </w:t>
            </w:r>
          </w:p>
        </w:tc>
        <w:tc>
          <w:tcPr>
            <w:tcW w:w="1747" w:type="dxa"/>
            <w:tcBorders/>
            <w:shd w:fill="CCEEFF" w:val="clear"/>
            <w:tcMar>
              <w:bottom w:w="0" w:type="dxa"/>
            </w:tcMar>
            <w:vAlign w:val="center"/>
          </w:tcPr>
          <w:p>
            <w:pPr>
              <w:pStyle w:val="TableContents"/>
              <w:bidi w:val="0"/>
              <w:spacing w:before="0" w:after="283"/>
              <w:jc w:val="right"/>
              <w:rPr/>
            </w:pPr>
            <w:r>
              <w:rPr/>
              <w:t>96,095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1694" w:type="dxa"/>
            <w:tcBorders/>
            <w:shd w:fill="CCEEFF" w:val="clear"/>
            <w:tcMar>
              <w:bottom w:w="0" w:type="dxa"/>
            </w:tcMar>
            <w:vAlign w:val="center"/>
          </w:tcPr>
          <w:p>
            <w:pPr>
              <w:pStyle w:val="TableContents"/>
              <w:bidi w:val="0"/>
              <w:spacing w:before="0" w:after="283"/>
              <w:jc w:val="right"/>
              <w:rPr/>
            </w:pPr>
            <w:r>
              <w:rPr/>
              <w:t>24,298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71,797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Utilities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 </w:t>
            </w:r>
          </w:p>
        </w:tc>
        <w:tc>
          <w:tcPr>
            <w:tcW w:w="1747" w:type="dxa"/>
            <w:tcBorders/>
            <w:shd w:fill="FFFFFF" w:val="clear"/>
            <w:tcMar>
              <w:bottom w:w="0" w:type="dxa"/>
            </w:tcMar>
            <w:vAlign w:val="center"/>
          </w:tcPr>
          <w:p>
            <w:pPr>
              <w:pStyle w:val="TableContents"/>
              <w:bidi w:val="0"/>
              <w:spacing w:before="0" w:after="283"/>
              <w:jc w:val="right"/>
              <w:rPr/>
            </w:pPr>
            <w:r>
              <w:rPr/>
              <w:t>70,920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1694" w:type="dxa"/>
            <w:tcBorders/>
            <w:shd w:fill="FFFFFF" w:val="clear"/>
            <w:tcMar>
              <w:bottom w:w="0" w:type="dxa"/>
            </w:tcMar>
            <w:vAlign w:val="center"/>
          </w:tcPr>
          <w:p>
            <w:pPr>
              <w:pStyle w:val="TableContents"/>
              <w:bidi w:val="0"/>
              <w:spacing w:before="0" w:after="283"/>
              <w:jc w:val="right"/>
              <w:rPr/>
            </w:pPr>
            <w:r>
              <w:rPr/>
              <w:t>36,360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34,560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Other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 w:type="dxa"/>
            <w:tcBorders>
              <w:bottom w:val="single" w:sz="12" w:space="0" w:color="000000"/>
            </w:tcBorders>
            <w:shd w:fill="CCEEFF" w:val="clear"/>
            <w:vAlign w:val="center"/>
          </w:tcPr>
          <w:p>
            <w:pPr>
              <w:pStyle w:val="TableContents"/>
              <w:bidi w:val="0"/>
              <w:spacing w:before="0" w:after="283"/>
              <w:jc w:val="left"/>
              <w:rPr/>
            </w:pPr>
            <w:r>
              <w:rPr/>
              <w:t> </w:t>
            </w:r>
          </w:p>
        </w:tc>
        <w:tc>
          <w:tcPr>
            <w:tcW w:w="1747" w:type="dxa"/>
            <w:tcBorders>
              <w:bottom w:val="single" w:sz="12" w:space="0" w:color="000000"/>
            </w:tcBorders>
            <w:shd w:fill="CCEEFF" w:val="clear"/>
            <w:vAlign w:val="center"/>
          </w:tcPr>
          <w:p>
            <w:pPr>
              <w:pStyle w:val="TableContents"/>
              <w:bidi w:val="0"/>
              <w:spacing w:before="0" w:after="283"/>
              <w:jc w:val="right"/>
              <w:rPr/>
            </w:pPr>
            <w:r>
              <w:rPr/>
              <w:t>307,732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5" w:type="dxa"/>
            <w:tcBorders>
              <w:bottom w:val="single" w:sz="12" w:space="0" w:color="000000"/>
            </w:tcBorders>
            <w:shd w:fill="CCEEFF" w:val="clear"/>
            <w:vAlign w:val="center"/>
          </w:tcPr>
          <w:p>
            <w:pPr>
              <w:pStyle w:val="TableContents"/>
              <w:bidi w:val="0"/>
              <w:spacing w:before="0" w:after="283"/>
              <w:jc w:val="left"/>
              <w:rPr/>
            </w:pPr>
            <w:r>
              <w:rPr/>
              <w:t> </w:t>
            </w:r>
          </w:p>
        </w:tc>
        <w:tc>
          <w:tcPr>
            <w:tcW w:w="1694" w:type="dxa"/>
            <w:tcBorders>
              <w:bottom w:val="single" w:sz="12" w:space="0" w:color="000000"/>
            </w:tcBorders>
            <w:shd w:fill="CCEEFF" w:val="clear"/>
            <w:vAlign w:val="center"/>
          </w:tcPr>
          <w:p>
            <w:pPr>
              <w:pStyle w:val="TableContents"/>
              <w:bidi w:val="0"/>
              <w:spacing w:before="0" w:after="283"/>
              <w:jc w:val="right"/>
              <w:rPr/>
            </w:pPr>
            <w:r>
              <w:rPr/>
              <w:t>138,407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169,325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747" w:type="dxa"/>
            <w:tcBorders>
              <w:bottom w:val="double" w:sz="10" w:space="0" w:color="000000"/>
            </w:tcBorders>
            <w:shd w:fill="FFFFFF" w:val="clear"/>
            <w:vAlign w:val="center"/>
          </w:tcPr>
          <w:p>
            <w:pPr>
              <w:pStyle w:val="TableContents"/>
              <w:bidi w:val="0"/>
              <w:spacing w:before="0" w:after="283"/>
              <w:jc w:val="right"/>
              <w:rPr>
                <w:b/>
              </w:rPr>
            </w:pPr>
            <w:r>
              <w:rPr>
                <w:b/>
              </w:rPr>
              <w:t>14,434,284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5"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1694" w:type="dxa"/>
            <w:tcBorders>
              <w:bottom w:val="double" w:sz="10" w:space="0" w:color="000000"/>
            </w:tcBorders>
            <w:shd w:fill="FFFFFF" w:val="clear"/>
            <w:vAlign w:val="center"/>
          </w:tcPr>
          <w:p>
            <w:pPr>
              <w:pStyle w:val="TableContents"/>
              <w:bidi w:val="0"/>
              <w:spacing w:before="0" w:after="283"/>
              <w:jc w:val="right"/>
              <w:rPr>
                <w:b/>
              </w:rPr>
            </w:pPr>
            <w:r>
              <w:rPr>
                <w:b/>
              </w:rPr>
              <w:t>11,255,035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b/>
              </w:rPr>
            </w:pPr>
            <w:r>
              <w:rPr>
                <w:b/>
              </w:rPr>
              <w:t>$</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3,179,249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$3.2 million, or 28.2%, to $14.4 million for the six months ended June 30, 2026, compared to $11.3 million for the six months ended June 30, 2025. The increase was primarily attributable to continued investment in personnel, engineering, manufacturing, technology development and public company infrastructure to support the Company's continued growth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increased $453,089, or 5.7%, reflecting equity awards granted to employees, executives, directors and service providers during the period as part of the Company's long-term compensation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share-based compensation, operating expenses increased $2.7 million, primarily reflecting increased investments in personnel, manufacturing, engineering, commercialization activities and public company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 expense increased $629,565, or 80.9%, primarily due to expanded engineering, software development, manufacturing support and operational consulting services required to support continued product development and Smart Store deployment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expense increased $421,006, or 104.1%, reflecting increased marketing initiatives, customer acquisition efforts, brand awareness campaigns and promotional activities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increased $330,000, or 52.0%, reflecting higher executive compensation accruals during the period, while wage expense of $318,103 reflects the continued expansion of the Company's employee workforce to support manufacturing, engineering and corporate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expense increased $292,829, or 159.6%, primarily due to increased business development, customer meetings, manufacturing activities and corporate travel associated with the Company's expanding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 increased $205,261 due to expanded insurance coverage associated with the Company's growing operations and public company requirements. Regulatory and compliance expense of $188,250 was incurred during the current period as the Company continued to invest in SEC reporting, Nasdaq compliance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lease and rent expense increased $139,039, legal and professional expense increased $87,478, depreciation expense increased $71,797, and utilities expense increased $34,560, reflecting the Company's continued investment in manufacturing capacity, technology infrastructure and operational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decreased $161,053, or 37.2%, primarily due to the completion of certain engineering and product development initiatives during the prior-year period and a shift in resources toward commercialization and deployment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increased $169,326, or 122.3%, primarily due to higher payroll-related costs, repairs and maintenance, office expenses and other administrative costs incurred to support the Company's expanding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decreased to $12,455,853 for the six months ended June 30, 2026, compared to $18,806,877 for the six months ended June 30, 2025, representing a decrease of $6,351,024, or approximately 33.8%.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was primarily attributable to the absence of the significant $18.5 million settlement expense recognized during the six months ended June 30, 2025, which related to the resolution of legacy legal and financing matters and did not recur in the current-year period. This decrease was partially offset by a significant increase in interest expense, which rose to $11.8 million during the six months ended June 30, 2026, from $228,033 in the prior-year period, primarily due to interest recognized on the Company's financing arrangements. In addition, the Company recognized a $391,442 loss from the change in the fair value of its convertible note liability during the current-year period, compared to $65,414 in the prior-year period. The Company also recorded $269,000 of settlement expense during the current-year period related to current-period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 reduction in other expense reflects the non-recurring nature of the substantial settlement charge recognized in the prior-year period, partially offset by higher financing costs associated with the Company's capital structure during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Company reported a net loss of $27.1 million for the six months ended June 30, 2026, compared to a net loss of $29.9 million for the six months ended June 30, 2025. While operating expenses increased year over year, primarily due to continued investment in the Company’s growth initiatives, including higher contractor, advertising, personnel and public company operating costs, as well as non-cash share-based compensation, the significant reduction in settlement expense partially offset by higher interest expense resulted in an overall improvement in net loss compared to the prior-year period.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and Capital Resources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negative working capital of $1,770,578 comprised of $2,563,439 in cash, $2,447,132 in inventory, $724,663 in prepaid expenses, $48,637 in sales tax receivable, $2,000 in security deposit – current offset by $929,565 in accounts payable and accrued expenses, $2,100,000 in loan payable – related party, $2,457,647 in accrued payroll and compensation, $1,500,000 in deferred revenue, $326,247 in current operating lease liability, $162,000 in customer deposits, $72,366 in interest payable - current and sales tax payable of $8,624.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included $1,343,264 in property and equipment, net, $844,867 in right of use asset, and $143,667 in security deposits.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 consisted of $614,091 in right of use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we had negative working capital of $9,192,737 comprised of $89,634 in cash, $1,021,947 in inventory, and $248,032 in prepaid expenses $2,000 in security deposit - current, offset by $4,576,949 in convertible debt at fair value, $2,114,487 in accrued payroll and compensation, $1,500,000 in deferred revenue relating to down payments for pre orders, $1,000,000 in loan payable – related party, $716,329 in accounts payable and accrued expenses, $346,953 in current operating lease liability, $203,645 in customer deposits and $89,148 in interest payable and $6,839 in sales tax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 included $1,275,078 in property and equipment — net, $907,705 in right of use asset, and $79,566 in security deposits.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 consisted of $2,550,930 in promissory note, $706,441 in right of use liability and $131,549 in interest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June 30,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$10,605,330 of cash in operating activities, which was primarily attributable to our net loss of $27,099,078, adjusted for $11,300,000 of non-cash interest expense related to the extension of convertible notes, $8,366,728 in share-based compensation, $932,195 related to the change in fair value of convertible debt, $142,322 in depreciation and amortization expense, $343,160 in accrued payroll and compensation, $213,236 in accounts payable and accrued expenses and $62,838 of change in operating right-of-use assets, $1,785 in sales tax payable offset by $2,550,930 in settlement payments related to a promissory note, $1,425,185 in inventory, $476,631 in prepaid expenses, $148,331 in interest payable, $113,056 of change in operating lease liabilities, $64,101 in security deposits, $48,637 in sales tax receivable, and $41,645 in customer deposits.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$210,508 of cash in investing activities relating to purchases of property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$13,289,643 of cash from financing activities, including $18,865,000 in proceeds from warrant issuances, $1,100,000 in proceeds from related party notes and $300,012 in proceeds from stock purchase agreements, offset by $5,509,144 in repayments of convertible notes and $1,466,225 in payment of offering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$1,552,968 of cash in operating activities which was primarily attributable to our net loss from continuing operations of $29,878,514 including $18,513,430 in settlement expense, $7,913,639 in share based compensation, $1,749,000 in deferred revenue, $685,072 of change in operating right of use liability, $404,000 in accrued payroll and compensation, $200,689 in interest payable, $65,414 of unrealized loss on convertible debt, $40,100 in sales tax payable, $27,952 in depreciation expense, offset by $741,398 of change in operating right of use asset, $179,095 in inventory, $150,272 in accounts payable and accrued expenses, $88,704 in deferred offering cost, $59,281 in prepaid expenses and $55,000 in security deposits.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$483,154 in investing activities for the six months ended June 30, 2025 relating to the assembly of both our LAX Metro flagship company owned store and our National Automatic Merchandising Association (NAMA) display store.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$4,371,050 of cash from financing activities consisting of $3,500,000 in proceeds from warrant issuance, crowdfunding, $650,000 proceeds from convertible debt and $221,050 in proceeds from crowdfunding.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expects external financing to remain its primary source of liquidity in the near term. Management is pursuing additional capital through equity and debt financing, including investments from existing and new investors. As commercialization progresses, the Company expects direct Smart Store sales and recurring SaaS and related service revenue to become increasingly significant sources of liquidity. The Company's ability to reduce its reliance on external financing will depend on the timing and level of Smart Store sales, deployment activity and the commercialization of its recurring revenue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Outlook</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funded our operations and development activities primarily through debt and equity financing and, to a lesser extent, crowdfunding initiatives. In the near term, we expect to continue to rely primarily on capital raising activities to fund operations and execute our commercialization strategy. We are pursuing additional equity and debt financing from existing and new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commercialization efforts progress, we expect our sources of liquidity to evolve. We anticipate that direct Smart Store sales will become an increasingly important source of operating cash flow, followed by recurring SaaS, maintenance and related service revenue as our installed customer base grows. If these revenue streams develop as anticipated, we expect our relative reliance on external capital raising to decrease over time. However, the timing and amount of these revenues remain uncertain, and we expect to require additional external financing until operating cash flows are sufficient to support our operations.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this trend to continue in connection with our planned direct listing. The planned equity raise is reasonably likely to materially change the mix of our capital resources by decreasing reliance on debt facilities and enhancing our equity capitalization. We also anticipate that the relative cost of capital will improve, as equity financing is expected to provide greater flexibility and reduce interest expense obligations compared to prior debt arrangements.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opportunistically evaluate additional credit facilities in the future, we do not currently anticipate significant off-balance-sheet financing arrangements or other alternative funding mechanisms that would materially alter our capital resource profile.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new employment agreements with our Chief Executive Officer and our President, effective upon the effectiveness of this registration statement. These agreements include annual base salaries, potential cash bonuses, and equity-based awards tied to geographic expansion and performance milestones. While the agreements contemplate potential annual cash bonuses of up to $3.2 million in the aggregate, such bonuses are contingent on the availability of legally distributable funds as defined under NRS 78.288, Board approval, and may be deferred or accrued until sufficient resources are available in compliance with Nevada law. Accordingly, we have not accrued any amounts for such bonuses to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payable in full, these cash bonuses could increase our annual compensation expense and impact our liquidity. However, because payment is conditional and may be deferred, the timing and extent of this impact cannot be predicted with certainty.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operating expenses to increase in future periods as we expand deployments of our autonomous Smart Stores, invest in further product development, and build out the organizational infrastructure required to support a scaled commercial business. In particular, we anticipate growth in payroll and compensation, research and development, and marketing expenses, partially offset by reduced reliance on share-based compensation compared to prior years. We may also incur increased legal and professional expenses in connection with our financing activities and as a result of our obligations as a public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equity award provisions in these agreements could result in the issuance of significant additional shares in the event that geographic expansion or performance milestones are achieved, which could result in dilution to existing stockholders.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$2,563,439 in cash. We expect our operating cash requirements, capital expenditures, and contractual obligations including $929,565 in accounts payable and accrued expenses, $205,680 in lease payments, $72,366 in interest payable and $2,500,000 estimated in contractor and production payments will total $3,707,611 over the next 12 months. Based on our current cash position and forecasted operating cash outflows, we will not have sufficient cash to fund these requirements. We are pursuing additional financing through equity and debt issuances to fuel long term growth in meeting the demand for our stores. Longer term, we anticipate ongoing funding needs to support growth and expansion.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SEC Rules 13a-15(b) and 15d-15(b),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not effective at the reasonable assurance level due to material weaknesses in internal controls over financial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these material weaknesses, management engaged financial consultants, performed additional analyses and other procedures to ensure that the financial statements included herein fairly present, in all material respects, our financial position, results of operations and cash flows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within the meaning of Public Company Accounting Oversight Board (“PCAOB”) Audit Standard No. 5,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2026, our internal controls over financial reporting were not effective at the reasonable assurance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We do not have sufficient and fully memorialized written documentation of our internal control policies and procedures. Written documentation of key internal controls over financial reporting is a requirement of Section 404 of the Sarbanes-Oxley Act which is applicable to us for March 31, 2026. Management evaluated the impact of our failure to have written documentation of our internal controls and procedures on our assessment of our disclosure controls and procedures and has concluded that the control deficiency that resulted represented a material weakness.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We do not have sufficient resources in our accounting function, which restricts the Company’s ability to gather, analyze and properly review information related to financial reporting in a timely manner. In addition, due to our size and nature, segregation of all conflicting duties may not always be possible and may not be economically feasible. However, to the extent possible, the initiation of transactions, the custody of assets and the recording of transactions should be performed by separate individuals. Management evaluated the impact of our failure to have segregation of duties on our assessment of our disclosure controls and procedures and has concluded that the control deficiency that resulted represented a material weakness.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We do not have personnel with sufficient experience with United States generally accepted accounting principles to address complex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We have inadequate controls to ensure that information necessary to properly record transactions is adequately communicated on a timely basis from non-financial personnel to those responsible for financial reporting. Management evaluated the impact of the lack of timely communication between non–financial personnel and financial personnel on our assessment of our reporting controls and procedures and has concluded that the control deficiency represented a material weakness.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We have determined that oversight over our external financial reporting and internal control over our financial reporting is ineffective. The Chief Financial Officer has not provided adequate review of the Company’s SEC’s filings and financial statements and has not provided adequate supervision and review of the Company’s accounting personnel or oversight of the independent registered accounting firm’s audit of the Company’s financial statement.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continue to take steps to remediate some of the weaknesses described above, including by engaging a financial reporting advisor with expertise in accounting for complex transactions. We intend to continue to address these weaknesses as resources permit.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5"/>
      <w:bookmarkEnd w:id="11"/>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06"/>
      <w:bookmarkEnd w:id="1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07"/>
      <w:bookmarkEnd w:id="1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 However, please refer to our Form 10-K as filed with and accepted by the SEC on March 23, 2024, to see those Risk Factors listed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08"/>
      <w:bookmarkEnd w:id="1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11, 2026, through June 30, 2026 (the “Reporting Period”), we issued the following unregistered securities. Unless otherwise indicated, share amounts are presented on an as-issued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Issuances for Services Rendered (Section 4(a)(2))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issued an aggregate of 5,335,000 shares of our common stock to consultants and other service providers as consideration for bona fide services. The shares were issued in transactions exempt from registration under the Securities Act of 1933, as amended, pursuant to Section 4(a)(2)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of certain of these shares was subsequently registered pursuant to a registration statement on Form S-1, which became effective on 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Additional Information Applicable to All Unregistered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no underwriters were involved in the foregoing transactions, and no underwriting discounts or commissions were paid by us (other than any ordinary 506(b) placement-agent compensation, if applicable, which would be disclosed in our financial statements or a subsequent amendment). The foregoing offers and sales were made without registration under the Securities Act, and the securities may not be offered or sold in the United States absent registration or an applicable exemption from registration. We believe the above transactions were exempt from registration as noted, did not involve a public offering, and were conducted in compliance with applicable state securities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09"/>
      <w:bookmarkEnd w:id="1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0"/>
      <w:bookmarkEnd w:id="1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1"/>
      <w:bookmarkEnd w:id="1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2"/>
      <w:bookmarkEnd w:id="18"/>
      <w:r>
        <w:rPr>
          <w:rFonts w:ascii="Times New Roman;Times;Serif" w:hAnsi="Times New Roman;Times;Serif"/>
          <w:b/>
          <w:i w:val="false"/>
          <w:caps w:val="false"/>
          <w:smallCaps w:val="false"/>
          <w:sz w:val="20"/>
        </w:rPr>
        <w:t>ITEM 6. EXHIBITS.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935"/>
        <w:gridCol w:w="60"/>
        <w:gridCol w:w="9210"/>
      </w:tblGrid>
      <w:tr>
        <w:trPr/>
        <w:tc>
          <w:tcPr>
            <w:tcW w:w="935"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1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9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10" w:type="dxa"/>
            <w:tcBorders/>
            <w:shd w:fill="CCEEFF" w:val="clear"/>
            <w:tcMar>
              <w:bottom w:w="0" w:type="dxa"/>
            </w:tcMar>
            <w:vAlign w:val="center"/>
          </w:tcPr>
          <w:p>
            <w:pPr>
              <w:pStyle w:val="TableContents"/>
              <w:bidi w:val="0"/>
              <w:spacing w:before="0" w:after="283"/>
              <w:ind w:left="0" w:right="0" w:hanging="0"/>
              <w:jc w:val="both"/>
              <w:rPr/>
            </w:pPr>
            <w:hyperlink w:anchor="ea029997001ex31-1.htm">
              <w:r>
                <w:rPr>
                  <w:rStyle w:val="InternetLink"/>
                  <w:rFonts w:ascii="Times New Roman;Times;Serif" w:hAnsi="Times New Roman;Times;Serif"/>
                  <w:sz w:val="20"/>
                </w:rPr>
                <w:t>Certification of Principal Executive Officer and Principal Financial Officer Pursuant to Section 302 of the Sarbanes-Oxley Act Of 2002.</w:t>
              </w:r>
            </w:hyperlink>
          </w:p>
        </w:tc>
      </w:tr>
      <w:tr>
        <w:trPr/>
        <w:tc>
          <w:tcPr>
            <w:tcW w:w="9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10" w:type="dxa"/>
            <w:tcBorders/>
            <w:shd w:fill="FFFFFF" w:val="clear"/>
            <w:tcMar>
              <w:bottom w:w="0" w:type="dxa"/>
            </w:tcMar>
            <w:vAlign w:val="center"/>
          </w:tcPr>
          <w:p>
            <w:pPr>
              <w:pStyle w:val="TableContents"/>
              <w:bidi w:val="0"/>
              <w:spacing w:before="0" w:after="283"/>
              <w:ind w:left="0" w:right="0" w:hanging="0"/>
              <w:jc w:val="both"/>
              <w:rPr/>
            </w:pPr>
            <w:hyperlink w:anchor="ea029997001ex32-1.htm">
              <w:r>
                <w:rPr>
                  <w:rStyle w:val="InternetLink"/>
                  <w:rFonts w:ascii="Times New Roman;Times;Serif" w:hAnsi="Times New Roman;Times;Serif"/>
                  <w:sz w:val="20"/>
                </w:rPr>
                <w:t>Certification of Principal Executive Officer and Principal Financial Officer Pursuant to Section 906 of the Sarbanes-Oxley Act Of 2002.</w:t>
              </w:r>
            </w:hyperlink>
          </w:p>
        </w:tc>
      </w:tr>
      <w:tr>
        <w:trPr/>
        <w:tc>
          <w:tcPr>
            <w:tcW w:w="9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10" w:type="dxa"/>
            <w:tcBorders/>
            <w:shd w:fill="CCEEFF" w:val="clear"/>
            <w:tcMar>
              <w:bottom w:w="0" w:type="dxa"/>
            </w:tcMar>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10" w:type="dxa"/>
            <w:tcBorders/>
            <w:shd w:fill="FFFFFF" w:val="clear"/>
            <w:tcMar>
              <w:bottom w:w="0" w:type="dxa"/>
            </w:tcMar>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10" w:type="dxa"/>
            <w:tcBorders/>
            <w:shd w:fill="CCEEFF" w:val="clear"/>
            <w:tcMar>
              <w:bottom w:w="0" w:type="dxa"/>
            </w:tcMar>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10" w:type="dxa"/>
            <w:tcBorders/>
            <w:shd w:fill="FFFFFF" w:val="clear"/>
            <w:tcMar>
              <w:bottom w:w="0" w:type="dxa"/>
            </w:tcMar>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10" w:type="dxa"/>
            <w:tcBorders/>
            <w:shd w:fill="CCEEFF" w:val="clear"/>
            <w:tcMar>
              <w:bottom w:w="0" w:type="dxa"/>
            </w:tcMar>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3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10" w:type="dxa"/>
            <w:tcBorders/>
            <w:shd w:fill="FFFFFF" w:val="clear"/>
            <w:tcMar>
              <w:bottom w:w="0" w:type="dxa"/>
            </w:tcMar>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2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3"/>
      <w:bookmarkEnd w:id="1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695" w:type="dxa"/>
        <w:jc w:val="left"/>
        <w:tblInd w:w="0" w:type="dxa"/>
        <w:tblLayout w:type="fixed"/>
        <w:tblCellMar>
          <w:top w:w="0" w:type="dxa"/>
          <w:left w:w="0" w:type="dxa"/>
          <w:bottom w:w="0" w:type="dxa"/>
          <w:right w:w="0" w:type="dxa"/>
        </w:tblCellMar>
      </w:tblPr>
      <w:tblGrid>
        <w:gridCol w:w="1865"/>
        <w:gridCol w:w="590"/>
        <w:gridCol w:w="2240"/>
      </w:tblGrid>
      <w:tr>
        <w:trPr/>
        <w:tc>
          <w:tcPr>
            <w:tcW w:w="1865" w:type="dxa"/>
            <w:tcBorders/>
            <w:vAlign w:val="center"/>
          </w:tcPr>
          <w:p>
            <w:pPr>
              <w:pStyle w:val="TableContents"/>
              <w:bidi w:val="0"/>
              <w:spacing w:before="0" w:after="283"/>
              <w:jc w:val="both"/>
              <w:rPr/>
            </w:pPr>
            <w:r>
              <w:rPr/>
              <w:t> </w:t>
            </w:r>
          </w:p>
        </w:tc>
        <w:tc>
          <w:tcPr>
            <w:tcW w:w="28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VenHub Global, Inc.</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22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12,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24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Shahan Ohanessian</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Shahan Ohanessian</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1865"/>
        <w:gridCol w:w="590"/>
        <w:gridCol w:w="3575"/>
      </w:tblGrid>
      <w:tr>
        <w:trPr/>
        <w:tc>
          <w:tcPr>
            <w:tcW w:w="186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b/>
              </w:rPr>
            </w:pPr>
            <w:r>
              <w:rPr>
                <w:b/>
              </w:rPr>
              <w:t>VenHub Global, Inc.</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pPr>
            <w:r>
              <w:rPr/>
              <w:t> </w:t>
            </w:r>
          </w:p>
        </w:tc>
        <w:tc>
          <w:tcPr>
            <w:tcW w:w="3575"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12, 2026</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57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Matt Hidalgo</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 Hidalgo</w:t>
            </w:r>
          </w:p>
        </w:tc>
      </w:tr>
      <w:tr>
        <w:trPr/>
        <w:tc>
          <w:tcPr>
            <w:tcW w:w="18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and Accounting Officer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29997001ex31-1.htm"/>
      <w:bookmarkStart w:id="21" w:name="ksea029997001ex311"/>
      <w:bookmarkEnd w:id="20"/>
      <w:bookmarkEnd w:id="21"/>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Shahan Ohanessian, certify that:</w:t>
      </w:r>
    </w:p>
    <w:p>
      <w:pPr>
        <w:pStyle w:val="TextBody"/>
        <w:bidi w:val="0"/>
        <w:spacing w:before="0" w:after="0"/>
        <w:ind w:left="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00"/>
        <w:gridCol w:w="7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265" w:type="dxa"/>
            <w:tcBorders/>
            <w:vAlign w:val="center"/>
          </w:tcPr>
          <w:p>
            <w:pPr>
              <w:pStyle w:val="TableContents"/>
              <w:bidi w:val="0"/>
              <w:spacing w:before="0" w:after="283"/>
              <w:jc w:val="both"/>
              <w:rPr/>
            </w:pPr>
            <w:r>
              <w:rPr/>
              <w:t>I have reviewed this quarterly report on Form 10-Q of VenHub Global, Inc.;</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09"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06"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SPACE LEFT INTENTIONALLY BLANK. SIGNATURES TO FOLLOW.</w:t>
      </w:r>
    </w:p>
    <w:p>
      <w:pPr>
        <w:pStyle w:val="TextBody"/>
        <w:bidi w:val="0"/>
        <w:spacing w:before="0" w:after="0"/>
        <w:ind w:left="0" w:right="0" w:hanging="0"/>
        <w:jc w:val="left"/>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1865"/>
        <w:gridCol w:w="590"/>
        <w:gridCol w:w="2930"/>
      </w:tblGrid>
      <w:tr>
        <w:trPr/>
        <w:tc>
          <w:tcPr>
            <w:tcW w:w="186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Shahan Ohanessian</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Shahan Ohanessian</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ind w:left="0" w:right="0" w:hanging="0"/>
              <w:jc w:val="left"/>
              <w:rPr/>
            </w:pPr>
            <w:r>
              <w:rPr/>
              <w:t xml:space="preserve">Chief Executive Officer </w:t>
              <w:br/>
              <w:t>(Principal Executive Officer)  </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ind w:left="0" w:right="0" w:hanging="0"/>
              <w:jc w:val="left"/>
              <w:rPr/>
            </w:pPr>
            <w:r>
              <w:rPr/>
              <w:t> </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Matt Hidalgo</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Matt Hidalgo</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pPr>
            <w:r>
              <w:rPr/>
              <w:t>Chief Financial Officer</w:t>
              <w:br/>
              <w:t>(Principal Accounting Officer)</w:t>
              <w:b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997001ex32-1.htm"/>
      <w:bookmarkStart w:id="23" w:name="ksea029997001ex321"/>
      <w:bookmarkEnd w:id="22"/>
      <w:bookmarkEnd w:id="23"/>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FURNISHED PURSUANT TO SECTION 906 OF THE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SARBANES-OXLEY ACT OF 2002, 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VenHub Global, Inc. (the “Company”) for the quarter ended June 30, 2026 (the “Report”), I, Shahan Ohanessian, Chief Executive Officer and I, Matt Hidalgo, Chief Financial Officer, certify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25" w:type="dxa"/>
            <w:tcBorders/>
            <w:vAlign w:val="center"/>
          </w:tcPr>
          <w:p>
            <w:pPr>
              <w:pStyle w:val="TableContents"/>
              <w:bidi w:val="0"/>
              <w:spacing w:before="0" w:after="283"/>
              <w:jc w:val="both"/>
              <w:rPr/>
            </w:pPr>
            <w:r>
              <w:rPr/>
              <w:t>the Report fully complies with the requirements of Section 13(a) or 15(d), as applicable, of the Securities Exchange Act of 1934, as amended (15 U.S.C. 78m or 78o(d)),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45"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the dates and for the periods covered by the Report.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authorized to be attached as an exhibit to the Report so that this statement will accompany the Report at such time as the Report is filed with the Securities and Exchange Commission, pursuant to Section 906 of the Sarbanes-Oxley Act of 2002, 18 U.S.C. Section 1350. Pursuant to Securities and Exchange Commission Release 33-8238, dated June 5, 2003, this certification is being furnished and shall not be deemed filed by the Company for purposes of Section 18 of the Securities Exchange Act of 1934, as amended, or incorporated by reference in any registration statement of the Company filed under the Securities Act of 1933, as amended, except to the extent that the Company specifically incorporates it by reference.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1865"/>
        <w:gridCol w:w="590"/>
        <w:gridCol w:w="2930"/>
      </w:tblGrid>
      <w:tr>
        <w:trPr/>
        <w:tc>
          <w:tcPr>
            <w:tcW w:w="186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Shahan Ohanessian</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Shahan Ohanessian</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ind w:left="0" w:right="0" w:hanging="0"/>
              <w:jc w:val="left"/>
              <w:rPr/>
            </w:pPr>
            <w:r>
              <w:rPr/>
              <w:t>Chief Executive Officer</w:t>
              <w:br/>
              <w:t>(Principal Executive Officer)  </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pPr>
            <w:r>
              <w:rPr/>
              <w:t> </w:t>
            </w:r>
          </w:p>
        </w:tc>
        <w:tc>
          <w:tcPr>
            <w:tcW w:w="2930" w:type="dxa"/>
            <w:tcBorders/>
            <w:vAlign w:val="center"/>
          </w:tcPr>
          <w:p>
            <w:pPr>
              <w:pStyle w:val="TableContents"/>
              <w:bidi w:val="0"/>
              <w:spacing w:before="0" w:after="283"/>
              <w:ind w:left="0" w:right="0" w:hanging="0"/>
              <w:jc w:val="left"/>
              <w:rPr/>
            </w:pPr>
            <w:r>
              <w:rPr/>
              <w:t> </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Matt Hidalgo</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Matt Hidalgo</w:t>
            </w:r>
          </w:p>
        </w:tc>
      </w:tr>
      <w:tr>
        <w:trPr/>
        <w:tc>
          <w:tcPr>
            <w:tcW w:w="1865" w:type="dxa"/>
            <w:tcBorders/>
            <w:vAlign w:val="center"/>
          </w:tcPr>
          <w:p>
            <w:pPr>
              <w:pStyle w:val="TableContents"/>
              <w:bidi w:val="0"/>
              <w:spacing w:before="0" w:after="283"/>
              <w:ind w:left="0" w:right="0" w:hanging="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pPr>
            <w:r>
              <w:rPr/>
              <w:t>Chief Financial Officer</w:t>
              <w:br/>
              <w:t>(Principal Accounting Officer)</w:t>
              <w:br/>
              <w:t>(Principal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19236</Words>
  <Characters>107995</Characters>
  <CharactersWithSpaces>129548</CharactersWithSpaces>
  <Paragraphs>5680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