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9" w:lineRule="exact"/>
        <w:rPr>
          <w:sz w:val="24"/>
          <w:szCs w:val="24"/>
          <w:color w:val="auto"/>
        </w:rPr>
      </w:pPr>
    </w:p>
    <w:p>
      <w:pPr>
        <w:jc w:val="center"/>
        <w:ind w:left="4000" w:right="1320" w:hanging="2666"/>
        <w:spacing w:after="0" w:line="477" w:lineRule="auto"/>
        <w:tabs>
          <w:tab w:leader="none" w:pos="15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2025</w:t>
      </w:r>
    </w:p>
    <w:p>
      <w:pPr>
        <w:spacing w:after="0" w:line="41"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3"/>
          </w:tcPr>
          <w:p>
            <w:pPr>
              <w:ind w:left="39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t>
            </w: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333-290703</w:t>
            </w:r>
          </w:p>
        </w:tc>
      </w:tr>
      <w:tr>
        <w:trPr>
          <w:trHeight w:val="441"/>
        </w:trPr>
        <w:tc>
          <w:tcPr>
            <w:tcW w:w="6600" w:type="dxa"/>
            <w:vAlign w:val="bottom"/>
            <w:gridSpan w:val="3"/>
          </w:tcPr>
          <w:p>
            <w:pPr>
              <w:jc w:val="center"/>
              <w:ind w:left="4567"/>
              <w:spacing w:after="0"/>
              <w:rPr>
                <w:sz w:val="20"/>
                <w:szCs w:val="20"/>
                <w:color w:val="auto"/>
              </w:rPr>
            </w:pPr>
            <w:r>
              <w:rPr>
                <w:rFonts w:ascii="Times New Roman" w:cs="Times New Roman" w:eastAsia="Times New Roman" w:hAnsi="Times New Roman"/>
                <w:sz w:val="22"/>
                <w:szCs w:val="22"/>
                <w:b w:val="1"/>
                <w:bCs w:val="1"/>
                <w:color w:val="auto"/>
                <w:w w:val="97"/>
              </w:rPr>
              <w:t>VenHub Global, Inc.</w:t>
            </w:r>
          </w:p>
        </w:tc>
        <w:tc>
          <w:tcPr>
            <w:tcW w:w="464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66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Nevada</w:t>
            </w:r>
          </w:p>
        </w:tc>
        <w:tc>
          <w:tcPr>
            <w:tcW w:w="46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92-2083580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tcPr>
          <w:p>
            <w:pPr>
              <w:jc w:val="center"/>
              <w:ind w:right="7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5360 Procyon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Las Vegas, NV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(888) 585-4999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VHUB</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Exchange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15,547,669 shares common stock</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sectPr>
          <w:pgSz w:w="11900" w:h="16927" w:orient="portrait"/>
          <w:cols w:equalWidth="0" w:num="1">
            <w:col w:w="11240"/>
          </w:cols>
          <w:pgMar w:left="320" w:top="50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927" w:orient="portrait"/>
          <w:cols w:equalWidth="0" w:num="2">
            <w:col w:w="3780" w:space="720"/>
            <w:col w:w="6740"/>
          </w:cols>
          <w:pgMar w:left="320" w:top="50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last business day of the Registrant’s most recently completed fiscal year, there was no market value of our common stock held by non-affiliates because the Company was not yet public.</w:t>
      </w:r>
    </w:p>
    <w:p>
      <w:pPr>
        <w:sectPr>
          <w:pgSz w:w="11900" w:h="16927" w:orient="portrait"/>
          <w:cols w:equalWidth="0" w:num="1">
            <w:col w:w="11240"/>
          </w:cols>
          <w:pgMar w:left="320" w:top="50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xml:space="preserve">The number of shares of the Registrant’s common stock, $0.001 par value per share, outstanding as of March 23, 2026 was </w:t>
      </w:r>
      <w:r>
        <w:rPr>
          <w:rFonts w:ascii="Times New Roman" w:cs="Times New Roman" w:eastAsia="Times New Roman" w:hAnsi="Times New Roman"/>
          <w:sz w:val="17"/>
          <w:szCs w:val="17"/>
          <w:u w:val="single" w:color="auto"/>
          <w:color w:val="auto"/>
        </w:rPr>
        <w:t>84,878,857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14"/>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14"/>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GENERAL INFORMATION</w:t>
            </w:r>
          </w:p>
        </w:tc>
        <w:tc>
          <w:tcPr>
            <w:tcW w:w="14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540" w:type="dxa"/>
            <w:vAlign w:val="bottom"/>
            <w:gridSpan w:val="11"/>
            <w:shd w:val="clear" w:color="auto" w:fill="CCEEFF"/>
          </w:tcPr>
          <w:p>
            <w:pPr>
              <w:jc w:val="center"/>
              <w:ind w:right="388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14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580" w:type="dxa"/>
            <w:vAlign w:val="bottom"/>
            <w:gridSpan w:val="12"/>
            <w:shd w:val="clear" w:color="auto" w:fill="CCEEFF"/>
          </w:tcPr>
          <w:p>
            <w:pPr>
              <w:jc w:val="center"/>
              <w:ind w:right="38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14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jc w:val="center"/>
              <w:ind w:right="36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14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580" w:type="dxa"/>
            <w:vAlign w:val="bottom"/>
            <w:gridSpan w:val="12"/>
            <w:shd w:val="clear" w:color="auto" w:fill="CCEEFF"/>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14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8"/>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75"/>
        </w:trPr>
        <w:tc>
          <w:tcPr>
            <w:tcW w:w="98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40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discussed in Item 1 (Business), Item 3 (Legal Proceedings), Item 7 (Management’s Discussion and Analysis of Financial Condition and Results of Operations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and Current Reports on Form 8-K filed with the Securities and Exchange Commission.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We are an “emerging growth company,” as defined in the Jumpstart Our Business Startups Act enacted in April 2012, and, for as long as we continue to be an “emerging growth company,” we may choose to take advantage of exemptions from various reporting requirements applicable to other public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earliest of (i) the last day of the fiscal year in which we have total annual gross revenues of $1 billion or more; (ii) the last day of the fiscal year following the fifth anniversary of the date of an initial public offering of our equity securities; (iii) the date on which we have issued more than $1 billion in non-convertible debt during the prior three year period; and (iv) the date on which we are deemed to be a “large accelerated filer.”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VenHub Global, Inc. (the “Company”) was incorporated in the state of Wyoming on January 31, 2023, as “Autonomous Solutions, Inc.” and redomiciled in Delaware with the name VenHub Global, Inc. on August 15, 2024. The Company redomiciled in Nevada on October 3,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created “VenHub” as the core brand of its operations. The Company intends VenHub technology to combine the intelligence of a store with the efficiency of robotics. This will be achieved by providing customers with a unique shopping experience expected to be fully autonomous that operates 24/7. The Company believes that with its use of advanced sensors, artificial intelligence (AI),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At this stage, our deployed AI systems are primarily focused on operational functions such as product verification, robotic navigation, and predictive maintenance. These capabilities improve order accuracy, fulfillment efficiency, and system uptime. While we are actively developing AI-driven personalization features, such as recommender engines designed to suggest products based on customer history, browsing patterns, and complementary items, these features remain in testing and are not yet deployed in live store environments. Accordingly, our current Smart Stores do not yet provide individualized tailoring of product offerings at this time. The VenHub Owners App provides AI-driven insights and recommendations using purchase data, customer metrics, forecasting, and conversational analytics. These analytics are operational today, though broader personalization features for customers are expected to be added only as development progresses. While the Company believes these applications represent meaningful advancements, it notes that artificial intelligence technology continues to develop rapidly, and the specific ways in which AI may be applied within VenHub Smart Stores may evolve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quoted on the Nasdaq Stock Market beginning on January 30, 2026, under the symbol “VHUB”.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a development stage company and to date we began recording revenue in 2025. Accordingly, our independent registered public accountants have issued a comment regarding our ability to continue as a going concern (please refer to the footnotes to the financial statements). Until such time that we are able to establish a consistent flow of revenues from our operations, which is sufficient to sustain our operating needs, management intends to rely primarily upon debt and equity financing to supplement cash flows, if any, generated by our services. We will seek such financing as necessary to allow the Company to continue to grow our business operations, and to cover such cost, excluding professional fees, associated with being a reporting Company with the Securities and Exchange Commission (“SEC”); we estimate such costs to be approximately $1,000,000 for 12 months. The Company has included such costs to become a publicly reporting company in its targeted expenses for working capital expenses and intends to seek reasonable loans from friends, family, and business acquaintances if it becomes necessary. At this point we have been funded by our founders and initial shareholders and have not received any firm commitments or indications from any family, friends or business acquaintances regarding any potential investment in the Company except those shareholders listed herein.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are a start-up company, while we have begun generating revenue in 2025, it is still unclear whether we can sustain or grow our revenue generation; however, it is our hopes that our revenues will exceed our costs. Our revenues will be impacted by the success of our marketing campaigns, the general condition of the economy, and the number of clients we attract. For a further discussion of our initial operations, plan of operations, growth strategy and marketing strategy see the below section entitled “Description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and Mission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become a global leader in autonomous retail solutions, revolutionizing the shopping experience through cutting-edge innovation, advanced technology, and a commitment to sustainability, while delivering a seamless, efficient, and accessible shopping experience for consumers and equipping retail partners with scalable, cost-effective solutions that address the evolving demands of today’s dynamic marketplace.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developing “VenHub” as its flagship brand, aiming to revolutionize the retail landscape by blending the smart of traditional stores with the efficiency of cutting-edge robotics. VenHub’s technology is designed to deliver a fully autonomous shopping experience that operates 24/7, providing consumers with seamless access to products at any time, with just a few taps on their smartphones or online device.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Currently Available Features (Version 1 Smart Stores): </w:t>
      </w:r>
      <w:r>
        <w:rPr>
          <w:rFonts w:ascii="Times New Roman" w:cs="Times New Roman" w:eastAsia="Times New Roman" w:hAnsi="Times New Roman"/>
          <w:sz w:val="18"/>
          <w:szCs w:val="18"/>
          <w:color w:val="auto"/>
        </w:rPr>
        <w:t>Our Version 1 Smart Stores are currently available and include autonomous robotic systems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selection, bagging, and delivery; inventory tracking and restocking alerts; a mobile application for browsing and purchasing; and store owner access to basic operational analytics. At present, our deployed AI and machine learning systems are focused on operational functions such as product verification through computer vision, robotic navigation, and predictive maintenance of hardware. These capabilities improve order accuracy, fulfillment efficiency, and system uptime.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actively developing enhancements such as ID verification technology for age-restricted products (e.g., alcohol and tobacco),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AI-driven analytics for store owners, and customer support infrastructure including 24/7 service and training materials. We are also developing AI-driven personalization features, including recommender engines intended to suggest products based on purchase history, browsing behavior, and complementary products. These personalization applications remain in testing and are not yet deployed in live store environments.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In addition, we are evaluating future potential features such as biometric authentication for secure transactions, solar-powered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alternatives, and expanded product format options (including larger and mobile Smart Stores).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utilizing advanced sensors, artificial intelligence (AI), and robotics, VenHub currently delivers a smooth and autonomous shopping experience, focused on accuracy, efficiency, and reliability. We believe that over time, our AI-driven algorithms will evolve to incorporate personalization features that can tailor product recommendations and customer interactions as these capabilities are developed and deployed.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store owners, VenHub is designed to materially eliminate the need for a traditional workforce, leading to significant savings on labor costs and unlocking the potential for increased profitability. By leveraging a combination of AI, sensors, and robotics, VenHub currently provides core autonomous functionality, and we are developing additional features intended to enhance long-term performance and user experience.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VenHub is strategically positioned to transform everyday shopping, with a vision of creating a world where the shopping experience is effortless, highly convenient, and accessible to all.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April 13, 2023, VenHub has facilitated an offering of its Preferred Class B Shares pursuant to Regulation CF with an offering price ranging between $2.83 per share and $9.94 per share for a weighted average of $4.77 per share (the “CF Offering”). To date, VenHub has sold 675,015 shares of Preferred Class B Shares. The Company concluded its offering of Preferred Stock B class shares on September 3,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operates through four wholly owned subsidiaries: VenHub, LLC, VenHub Services, LLC, VenHub IP, LLC, and VenHub Stores, LLC. VenHub, LLC, VenHub Services, LLC, and VenHub IP, LLC, were incorporated as Delaware limited liability companies on September 19, 2024, (the “Operating Subsidiaries”) and are designed to focus on specific operational areas of the company. The Operating Subsidiaries are also being domesticated in the state of Nevada pursuant to NRS 92A.270. VenHub Stores, LLC was incorporated in Nevada on June 4, 2025, and is designed to focus on ownership of Company-owned stores (the Operating Subsidiaries and VenHub Stores, LLC, are collectively referred to as the “VenHub Subsidiaries”). Prior to their formation, all business activities were consolidated under the Parent Company, VenHub Global, Inc.</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VenHub,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VenHub, LLC, a wholly owned subsidiary of VenHub Global, Inc., oversees and/or manages the end-to-end sourcing, assembly, and distribution of VenHub Smart Stores. The subsidiary manages the procurement of high-quality components and materials, ensuring that each Smart Store is built to the highest standards of craftsmanship and reliability. VenHub, LLC oversees and/or manages the entire assembly process, ensuring that every Smart Store meets the rigorous quality expectations set by the Parent Company. Additionally, VenHub, LLC is responsible for the sales, installation, and seamless integration of these Smart Stores for its clients.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Services, LLC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VenHub Services, LLC, another subsidiary of VenHub Global, Inc., focuses on delivering comprehensive software and operational support for the VenHub Smart Stores. It provides Software as a Service (SaaS) solutions that power the Smart Stores, ensuring seamless customer access to the technology. VenHub Services, LLC also manages the licensing of this software, offering the necessary tools for clients to optimize their store operations. Additionally, the subsidiary provides ongoing software support, maintenance, and operational assistance to guarantee uninterrupted functionality and maximum efficiency for its Smart Store users.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IP,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VenHub IP, LLC plays a pivotal role in managing the intellectual property portfolio that supports the innovative technology behind VenHub Smart Stores. This subsidiary is responsible for licensing its proprietary intellectual assets, including patents, trademarks, and other innovations, to both VenHub, LLC and VenHub Services, LLC. By centralizing the ownership and management of VenHub’s intellectual property, VenHub IP, LLC ensures the protection and continued enhancement of the company’s competitive advantage across its product and service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Stores,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VenHub Stores, LLC focuses on the ownership of Company-owned stores. Currently, there are two (2) Company-owned store located at the Los Angeles Airport (LAX) and Union Station. The Company intends to research the viability of opening more Company-owned stores through VenHub Stores, LLC for the purposes of seeding strategic marketplaces, for research and development purposes, and when required by local municipalities and or others where we cannot offer our stores otherwise to purchasers.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operations of all four VenHub Subsidiaries are and will be closely coordinated, ensuring an integrated and streamlined approach to delivering VenHub’s cutting-edge autonomous retail solutions. As the Company develops additional product offerings and services and expands, additional subsidiaries may be developed or established to optimize growth and address other corporate requirements.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Summary of VenHub Smart Store Features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features have been categorized for our VenHub Smart Stores into three groups: (i) features that are currently available in our Version 1 Smart Stores, (ii) features that are actively in development, and (iii) future opportunities that are conceptual and may be introduced depending on available resources, technical feasibility, and market demand. The following table summarizes these categories: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Available Now (Version 1</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0" w:type="dxa"/>
            <w:vAlign w:val="bottom"/>
          </w:tcPr>
          <w:p>
            <w:pPr>
              <w:spacing w:after="0"/>
              <w:rPr>
                <w:sz w:val="21"/>
                <w:szCs w:val="21"/>
                <w:color w:val="auto"/>
              </w:rPr>
            </w:pPr>
          </w:p>
        </w:tc>
        <w:tc>
          <w:tcPr>
            <w:tcW w:w="29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Smart Stores)</w:t>
            </w:r>
          </w:p>
        </w:tc>
        <w:tc>
          <w:tcPr>
            <w:tcW w:w="100" w:type="dxa"/>
            <w:vAlign w:val="bottom"/>
          </w:tcPr>
          <w:p>
            <w:pPr>
              <w:spacing w:after="0"/>
              <w:rPr>
                <w:sz w:val="21"/>
                <w:szCs w:val="21"/>
                <w:color w:val="auto"/>
              </w:rPr>
            </w:pPr>
          </w:p>
        </w:tc>
        <w:tc>
          <w:tcPr>
            <w:tcW w:w="2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In Development</w:t>
            </w:r>
          </w:p>
        </w:tc>
        <w:tc>
          <w:tcPr>
            <w:tcW w:w="0" w:type="dxa"/>
            <w:vAlign w:val="bottom"/>
          </w:tcPr>
          <w:p>
            <w:pPr>
              <w:spacing w:after="0"/>
              <w:rPr>
                <w:sz w:val="1"/>
                <w:szCs w:val="1"/>
                <w:color w:val="auto"/>
              </w:rPr>
            </w:pPr>
          </w:p>
        </w:tc>
      </w:tr>
      <w:tr>
        <w:trPr>
          <w:trHeight w:val="198"/>
        </w:trPr>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Core Store Operations</w:t>
            </w:r>
          </w:p>
        </w:tc>
        <w:tc>
          <w:tcPr>
            <w:tcW w:w="120" w:type="dxa"/>
            <w:vAlign w:val="bottom"/>
          </w:tcPr>
          <w:p>
            <w:pPr>
              <w:spacing w:after="0"/>
              <w:rPr>
                <w:sz w:val="17"/>
                <w:szCs w:val="17"/>
                <w:color w:val="auto"/>
              </w:rPr>
            </w:pPr>
          </w:p>
        </w:tc>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Autonomous robotic picking, bagging,</w:t>
            </w:r>
          </w:p>
        </w:tc>
        <w:tc>
          <w:tcPr>
            <w:tcW w:w="100" w:type="dxa"/>
            <w:vAlign w:val="bottom"/>
          </w:tcPr>
          <w:p>
            <w:pPr>
              <w:spacing w:after="0"/>
              <w:rPr>
                <w:sz w:val="17"/>
                <w:szCs w:val="17"/>
                <w:color w:val="auto"/>
              </w:rPr>
            </w:pPr>
          </w:p>
        </w:tc>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Expanded AI-driven analytics;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and delivery; mobile app ordering; basic</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enhanced forecasting tools.</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Experience</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analytics for store owners.</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24/7 autonomous operation; product</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24/7 customer support infrastructure;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browsing and checkout via mobile app.</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training materials and self-service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portal. Development of AI-driven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personalization features, such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recommender engines to suggest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products based on purchase history and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preferences (currently in testing, not yet</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Compliance Features</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deployed).</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Standard security and inventory</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ID verification technology for age-</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Energy &amp;</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tracking.</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sales (alcohol/tobacco).</w:t>
            </w:r>
          </w:p>
        </w:tc>
        <w:tc>
          <w:tcPr>
            <w:tcW w:w="0" w:type="dxa"/>
            <w:vAlign w:val="bottom"/>
          </w:tcPr>
          <w:p>
            <w:pPr>
              <w:spacing w:after="0"/>
              <w:rPr>
                <w:sz w:val="1"/>
                <w:szCs w:val="1"/>
                <w:color w:val="auto"/>
              </w:rPr>
            </w:pPr>
          </w:p>
        </w:tc>
      </w:tr>
      <w:tr>
        <w:trPr>
          <w:trHeight w:val="212"/>
        </w:trPr>
        <w:tc>
          <w:tcPr>
            <w:tcW w:w="1820" w:type="dxa"/>
            <w:vAlign w:val="bottom"/>
            <w:vMerge w:val="continue"/>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Energy-efficient lighting; battery</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Solar-powered alternatives (in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backup.</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Formats &amp; Scalability</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 sq. ft. modular Smart Stores;</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Mobile Smart Stores (on wheels);</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expandable side-by-side units.</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retrofit Smart Stores for existing spaces.</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Bulletproof glass, access controls,</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Enhanced robotics-enabled lockers for</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cameras, intrusion detection software.</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package handling.</w:t>
            </w: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Competition</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Future Opportunities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(Conceptual)</w:t>
      </w:r>
    </w:p>
    <w:p>
      <w:pPr>
        <w:spacing w:after="0" w:line="1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Advanced biometric authentication for secure transactions.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Future expansion of AI-driven personalization capabilities, enabling tailored shopping experiences as technology matures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Expanded compliance modules as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emerge.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Next-generation sustainability features.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Larger-format Smart Stores; joint ventures with big-box retailers.</w:t>
      </w:r>
    </w:p>
    <w:p>
      <w:pPr>
        <w:ind w:right="420"/>
        <w:spacing w:after="0" w:line="260" w:lineRule="auto"/>
        <w:rPr>
          <w:sz w:val="20"/>
          <w:szCs w:val="20"/>
          <w:color w:val="auto"/>
        </w:rPr>
      </w:pPr>
      <w:r>
        <w:rPr>
          <w:rFonts w:ascii="Times New Roman" w:cs="Times New Roman" w:eastAsia="Times New Roman" w:hAnsi="Times New Roman"/>
          <w:sz w:val="18"/>
          <w:szCs w:val="18"/>
          <w:color w:val="auto"/>
        </w:rPr>
        <w:t>AI-driven predictive security and theft-prevention tools.</w:t>
      </w:r>
    </w:p>
    <w:p>
      <w:pPr>
        <w:spacing w:after="0" w:line="609" w:lineRule="exact"/>
        <w:rPr>
          <w:sz w:val="20"/>
          <w:szCs w:val="20"/>
          <w:color w:val="auto"/>
        </w:rPr>
      </w:pPr>
    </w:p>
    <w:p>
      <w:pPr>
        <w:sectPr>
          <w:pgSz w:w="11900" w:h="16838" w:orient="portrait"/>
          <w:cols w:equalWidth="0" w:num="2">
            <w:col w:w="7880" w:space="100"/>
            <w:col w:w="32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VenHub’s Competitive Positioning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are one of the early leaders in providing end-to-end fully autonomous convenience store services using AI robotics. Our Smart Stores are designed to operate 24 hours per day, seven days a week. With no employees required to operate the Smart Store, store owners have no store employee labor costs. We believe this provides a competitive cost advantage to store owners, particularly as labor costs have increased historically.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VenHub Smart Store will be designed with bullet proof glass, steel doors with padlock and electric locks, robust access control systems, and 24/7 monitoring with real-time alerts via the store owner app interface. Each Smart Store will include interior and exterior sensors as well as intrusion software for the robots. We believe these security features, combined with our self-service delivery windows, provide store owners with the ability to avoid retail shrinkage.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AI-enabled store owner app interface provides a comprehensive real-time inventory optimization platform that is unprecedented in the convenience store industry. In our view, these data driven insights competitively position VenHub to attract new store owners that could then significantly scale our operations from an emerging AI and robotics-enabled convenience store provider.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Competitive Landscape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autonomous retail and smart vending space is rapidly evolving, with companies such as Amazon Go, AiFi, and Zippin introducing cashierless technology and vending innovations, among many potential other entrants and participants. However, VenHub distinguishes itself through a fully modular physical store platform with robotic picking arms, integrated AI, and an end-to-end operating model for independent store ownership. Unlike competitors focused solely on SaaS or retail chain use, VenHub enables entrepreneurial access to autonomous retail infrastructure, making it a first mover in this owner-operator model at scale.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(“IP”) is critical to VenHub’s strategy, safeguarding the innovative technologies that drive our competitive advantage. Through patents, the Company protects our robotics, AI, and smart infrastructure solutions, creating barriers to entry for competitors and unlocking licensing and partnership opportunities. IP protection ensures our ability to innovate independently and differentiate our offerings in the market.</w:t>
      </w:r>
    </w:p>
    <w:p>
      <w:pPr>
        <w:spacing w:after="0" w:line="172" w:lineRule="exact"/>
        <w:rPr>
          <w:sz w:val="20"/>
          <w:szCs w:val="20"/>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Impact of IP on Business Success: </w:t>
      </w:r>
      <w:r>
        <w:rPr>
          <w:rFonts w:ascii="Times New Roman" w:cs="Times New Roman" w:eastAsia="Times New Roman" w:hAnsi="Times New Roman"/>
          <w:sz w:val="18"/>
          <w:szCs w:val="18"/>
          <w:color w:val="auto"/>
        </w:rPr>
        <w:t>The strength of the Company’s IP portfolio directly influences our market leadership and growth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and enforcing patents prevents competitors from replicating our innovations, preserving our revenue streams and enabling long-term monetization. Strong IP also bolsters investor confidence and supports strategic partnerships, further enhancing our market position.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Lifespan and Strategic Management of Patents: </w:t>
      </w:r>
      <w:r>
        <w:rPr>
          <w:rFonts w:ascii="Times New Roman" w:cs="Times New Roman" w:eastAsia="Times New Roman" w:hAnsi="Times New Roman"/>
          <w:sz w:val="18"/>
          <w:szCs w:val="18"/>
          <w:color w:val="auto"/>
        </w:rPr>
        <w:t>Provisional patents provide an initial 12-month protection period, during which we refine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transition innovations to utility patents with a 20-year lifespan. This timeline allows the Company to protect our advancements while continuously investing in new IP to maintain a dynamic, forward-looking portfolio that ensures long-term market relevance.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IP for Growth and Risk Management: </w:t>
      </w:r>
      <w:r>
        <w:rPr>
          <w:rFonts w:ascii="Times New Roman" w:cs="Times New Roman" w:eastAsia="Times New Roman" w:hAnsi="Times New Roman"/>
          <w:sz w:val="18"/>
          <w:szCs w:val="18"/>
          <w:color w:val="auto"/>
        </w:rPr>
        <w:t>The Company’s IP strategy not only protects our technology but also positions us for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enabling licensing, co-development, and partnerships. We mitigate risks through thorough patent drafting, prior art searches, and legal defense planning, ensuring our innovations remain secure as we lead the automated retail industry.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Innovation and Market Leadership: </w:t>
      </w:r>
      <w:r>
        <w:rPr>
          <w:rFonts w:ascii="Times New Roman" w:cs="Times New Roman" w:eastAsia="Times New Roman" w:hAnsi="Times New Roman"/>
          <w:sz w:val="18"/>
          <w:szCs w:val="18"/>
          <w:color w:val="auto"/>
        </w:rPr>
        <w:t>VenHub’s IP portfolio is a cornerstone of our business, enabling us to deliver cutting-edge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maintain a competitive edge. By prioritizing innovation and robust IP management, we ensure sustainable growth and continue to shape the future of automated retail.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Pending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had 25 unique patent applications, consisting of 19 provisional patents and 6 utility patent applications. The patents were filed with the United States Patent and Trademark Office (USPTO) by the inventors, Shahan and Shoushana “Suzy” Ohanessian, our founders. We are in the process of formally assigning the patents to our wholly owned subsidiary, VenHub IP, LLC. These patents form a critical part of our strategy to protect our technological innovations and products. Provisional patents provide an initial filing date and grant the ability to label innovations as “patent pending,” but do not grant enforceable rights. To secure long-term protection, we intend to transition any provisional applications to non-provisional utility patents, initiating the USPTO’s thorough examination process for patentability. Our intellectual property portfolio reflects our commitment to innovation, with applications covering a range of technologies, including automated systems, advanced robotics, retail security, and smart infrastructure. We recognize the importance of safeguarding our proprietary technology, and through our planned utility patent filings, we aim to establish enforceable intellectual property rights that provide us with a competitive advantage in the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our current patents pending: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842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6"/>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63/606,111</w:t>
            </w:r>
          </w:p>
        </w:tc>
        <w:tc>
          <w:tcPr>
            <w:tcW w:w="12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12/05/2023</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18/970,312</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12/05/2024</w:t>
            </w:r>
          </w:p>
        </w:tc>
      </w:tr>
      <w:tr>
        <w:trPr>
          <w:trHeight w:val="198"/>
        </w:trPr>
        <w:tc>
          <w:tcPr>
            <w:tcW w:w="1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63/627,091</w:t>
            </w:r>
          </w:p>
        </w:tc>
        <w:tc>
          <w:tcPr>
            <w:tcW w:w="120" w:type="dxa"/>
            <w:vAlign w:val="bottom"/>
            <w:shd w:val="clear" w:color="auto" w:fill="CCEEFF"/>
          </w:tcPr>
          <w:p>
            <w:pPr>
              <w:spacing w:after="0"/>
              <w:rPr>
                <w:sz w:val="17"/>
                <w:szCs w:val="17"/>
                <w:color w:val="auto"/>
              </w:rPr>
            </w:pPr>
          </w:p>
        </w:tc>
        <w:tc>
          <w:tcPr>
            <w:tcW w:w="8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Innovative Expandable Housing Unit with Hydraulic Expansion and Locking System for Enhanced Mobility and</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1/31/2024</w:t>
            </w: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Structural Integrity</w:t>
            </w:r>
          </w:p>
        </w:tc>
        <w:tc>
          <w:tcPr>
            <w:tcW w:w="122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19/042,357</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Expandable and Collapsible Building Unit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63/636,727</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PrecisionPack: Automated Product Packaging and Delivery System with Advanced Bagging 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4/20/2024</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19/183,421</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Automated Product Packaging and Delivery System with Advanced Bagging 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63/636,730</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SyncFridge: Smart Synchronized Refrigerator System for Seamless Item Retrieval</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4/20/2024</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19/183,272</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Automated Door Control System for Refrigerated Product Storage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63/791,979</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Modular Snap-In Component Mounting and Power Distribution System</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4/21/2025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63/639,337</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4/26/2024</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19/191,132</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Versatile Pneumatic End Effector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4/28/2025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63/820,832</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Automated Security System With Intrusion Detection and Robotic Arm Defense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63/820,837</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6/10/2025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63/820,845</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Self-Cleaning and Sanitizing Retail Shelves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63/820,892</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Automated Packaging and Delivery System with Intelligent Boxing 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6/10/2025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63/826,078</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Sonic Deterrent System for Unattended Retail Stores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63/827,236</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6/20/2025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63/837,248</w:t>
            </w:r>
          </w:p>
        </w:tc>
        <w:tc>
          <w:tcPr>
            <w:tcW w:w="1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63/840,274</w:t>
            </w:r>
          </w:p>
        </w:tc>
        <w:tc>
          <w:tcPr>
            <w:tcW w:w="1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63/854,007</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Protective Film System for Bullet-Resistant Glass Surfaces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7/30/2025</w:t>
            </w: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63/853,981</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Smart Bullet-Resistant Glass Surface with Adjustable Opacity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7/30/2025</w:t>
            </w: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63/853,992</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Mobile Autonomous Store System for Dynamic Retail Environments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7/30/2025</w:t>
            </w: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63/862,818</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Intelligent Backup Power Management System for Enhanced Resilience and Security in SmartStores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8/13/2025</w:t>
            </w: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63/871,840</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GPS-Enabled Smart Anti-Theft Tags for Enhanced Retail Security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8/28/2025</w:t>
            </w: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63/872,615</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Sliding Shelf System for Autonomous Repositioning of Shelving Units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8/29/2025</w:t>
            </w: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63/872,700</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Tamper Evident Self Destructing Tags for Enhanced Security of High-Value Retail Items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8/29/2025</w:t>
            </w:r>
          </w:p>
        </w:tc>
      </w:tr>
      <w:tr>
        <w:trPr>
          <w:trHeight w:val="196"/>
        </w:trPr>
        <w:tc>
          <w:tcPr>
            <w:tcW w:w="122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w w:val="98"/>
              </w:rPr>
              <w:t>63/636,730</w:t>
            </w:r>
          </w:p>
        </w:tc>
        <w:tc>
          <w:tcPr>
            <w:tcW w:w="8860" w:type="dxa"/>
            <w:vAlign w:val="bottom"/>
          </w:tcPr>
          <w:p>
            <w:pPr>
              <w:ind w:left="380"/>
              <w:spacing w:after="0" w:line="195" w:lineRule="exact"/>
              <w:rPr>
                <w:sz w:val="20"/>
                <w:szCs w:val="20"/>
                <w:color w:val="auto"/>
              </w:rPr>
            </w:pPr>
            <w:r>
              <w:rPr>
                <w:rFonts w:ascii="Times New Roman" w:cs="Times New Roman" w:eastAsia="Times New Roman" w:hAnsi="Times New Roman"/>
                <w:sz w:val="18"/>
                <w:szCs w:val="18"/>
                <w:color w:val="auto"/>
              </w:rPr>
              <w:t xml:space="preserve">SyncFridge:  Smart  Synchronized  Refrigerator  System  for  Seamless  Item  Retrieval  </w:t>
            </w:r>
            <w:r>
              <w:rPr>
                <w:rFonts w:ascii="Times New Roman" w:cs="Times New Roman" w:eastAsia="Times New Roman" w:hAnsi="Times New Roman"/>
                <w:sz w:val="18"/>
                <w:szCs w:val="18"/>
                <w:i w:val="1"/>
                <w:iCs w:val="1"/>
                <w:color w:val="auto"/>
              </w:rPr>
              <w:t>(Expired  Provisional</w:t>
            </w:r>
          </w:p>
        </w:tc>
        <w:tc>
          <w:tcPr>
            <w:tcW w:w="1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4/20/2024</w:t>
            </w:r>
          </w:p>
        </w:tc>
      </w:tr>
      <w:tr>
        <w:trPr>
          <w:trHeight w:val="236"/>
        </w:trPr>
        <w:tc>
          <w:tcPr>
            <w:tcW w:w="122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16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19/183,272</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Automated Door Control System for Refrigerated Product Storage </w:t>
            </w:r>
            <w:r>
              <w:rPr>
                <w:rFonts w:ascii="Times New Roman" w:cs="Times New Roman" w:eastAsia="Times New Roman" w:hAnsi="Times New Roman"/>
                <w:sz w:val="18"/>
                <w:szCs w:val="18"/>
                <w:i w:val="1"/>
                <w:iCs w:val="1"/>
                <w:color w:val="auto"/>
              </w:rPr>
              <w:t>(Pending Utility Application)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4/18/2025</w:t>
            </w: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63/791,979</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Modular Snap-In Component Mounting and Power Distribution System </w:t>
            </w:r>
            <w:r>
              <w:rPr>
                <w:rFonts w:ascii="Times New Roman" w:cs="Times New Roman" w:eastAsia="Times New Roman" w:hAnsi="Times New Roman"/>
                <w:sz w:val="18"/>
                <w:szCs w:val="18"/>
                <w:i w:val="1"/>
                <w:iCs w:val="1"/>
                <w:color w:val="auto"/>
              </w:rPr>
              <w:t>(Pending New Provisional Application)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4/21/2025</w:t>
            </w:r>
          </w:p>
        </w:tc>
      </w:tr>
      <w:tr>
        <w:trPr>
          <w:trHeight w:val="196"/>
        </w:trPr>
        <w:tc>
          <w:tcPr>
            <w:tcW w:w="1220" w:type="dxa"/>
            <w:vAlign w:val="bottom"/>
            <w:shd w:val="clear" w:color="auto" w:fill="CCEEFF"/>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w w:val="98"/>
              </w:rPr>
              <w:t>63/639,337</w:t>
            </w:r>
          </w:p>
        </w:tc>
        <w:tc>
          <w:tcPr>
            <w:tcW w:w="8860" w:type="dxa"/>
            <w:vAlign w:val="bottom"/>
            <w:shd w:val="clear" w:color="auto" w:fill="CCEEFF"/>
          </w:tcPr>
          <w:p>
            <w:pPr>
              <w:ind w:left="380"/>
              <w:spacing w:after="0" w:line="195" w:lineRule="exact"/>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1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4/26/2024</w:t>
            </w:r>
          </w:p>
        </w:tc>
      </w:tr>
      <w:tr>
        <w:trPr>
          <w:trHeight w:val="236"/>
        </w:trPr>
        <w:tc>
          <w:tcPr>
            <w:tcW w:w="1220" w:type="dxa"/>
            <w:vAlign w:val="bottom"/>
            <w:shd w:val="clear" w:color="auto" w:fill="CCEEFF"/>
          </w:tcPr>
          <w:p>
            <w:pPr>
              <w:spacing w:after="0"/>
              <w:rPr>
                <w:sz w:val="20"/>
                <w:szCs w:val="20"/>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(Expired Provisional Application)</w:t>
            </w:r>
          </w:p>
        </w:tc>
        <w:tc>
          <w:tcPr>
            <w:tcW w:w="1160" w:type="dxa"/>
            <w:vAlign w:val="bottom"/>
            <w:shd w:val="clear" w:color="auto" w:fill="CCEEFF"/>
          </w:tcPr>
          <w:p>
            <w:pPr>
              <w:spacing w:after="0"/>
              <w:rPr>
                <w:sz w:val="20"/>
                <w:szCs w:val="20"/>
                <w:color w:val="auto"/>
              </w:rPr>
            </w:pP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19/191,132</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Versatile Pneumatic End Effector </w:t>
            </w:r>
            <w:r>
              <w:rPr>
                <w:rFonts w:ascii="Times New Roman" w:cs="Times New Roman" w:eastAsia="Times New Roman" w:hAnsi="Times New Roman"/>
                <w:sz w:val="18"/>
                <w:szCs w:val="18"/>
                <w:i w:val="1"/>
                <w:iCs w:val="1"/>
                <w:color w:val="auto"/>
              </w:rPr>
              <w:t>(Pending Utility Application)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4/28/2025</w:t>
            </w:r>
          </w:p>
        </w:tc>
      </w:tr>
      <w:tr>
        <w:trPr>
          <w:trHeight w:val="196"/>
        </w:trPr>
        <w:tc>
          <w:tcPr>
            <w:tcW w:w="1220" w:type="dxa"/>
            <w:vAlign w:val="bottom"/>
            <w:shd w:val="clear" w:color="auto" w:fill="CCEEFF"/>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w w:val="98"/>
              </w:rPr>
              <w:t>63/820,832</w:t>
            </w:r>
          </w:p>
        </w:tc>
        <w:tc>
          <w:tcPr>
            <w:tcW w:w="8860" w:type="dxa"/>
            <w:vAlign w:val="bottom"/>
            <w:shd w:val="clear" w:color="auto" w:fill="CCEEFF"/>
          </w:tcPr>
          <w:p>
            <w:pPr>
              <w:ind w:left="380"/>
              <w:spacing w:after="0" w:line="195" w:lineRule="exact"/>
              <w:rPr>
                <w:sz w:val="20"/>
                <w:szCs w:val="20"/>
                <w:color w:val="auto"/>
              </w:rPr>
            </w:pPr>
            <w:r>
              <w:rPr>
                <w:rFonts w:ascii="Times New Roman" w:cs="Times New Roman" w:eastAsia="Times New Roman" w:hAnsi="Times New Roman"/>
                <w:sz w:val="18"/>
                <w:szCs w:val="18"/>
                <w:color w:val="auto"/>
              </w:rPr>
              <w:t xml:space="preserve">Automated Security System With Intrusion Detection and Robotic Arm Defense </w:t>
            </w:r>
            <w:r>
              <w:rPr>
                <w:rFonts w:ascii="Times New Roman" w:cs="Times New Roman" w:eastAsia="Times New Roman" w:hAnsi="Times New Roman"/>
                <w:sz w:val="18"/>
                <w:szCs w:val="18"/>
                <w:i w:val="1"/>
                <w:iCs w:val="1"/>
                <w:color w:val="auto"/>
              </w:rPr>
              <w:t>(Pending New Provisional</w:t>
            </w:r>
          </w:p>
        </w:tc>
        <w:tc>
          <w:tcPr>
            <w:tcW w:w="11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6/10/2025</w:t>
            </w:r>
          </w:p>
        </w:tc>
      </w:tr>
      <w:tr>
        <w:trPr>
          <w:trHeight w:val="236"/>
        </w:trPr>
        <w:tc>
          <w:tcPr>
            <w:tcW w:w="1220" w:type="dxa"/>
            <w:vAlign w:val="bottom"/>
            <w:shd w:val="clear" w:color="auto" w:fill="CCEEFF"/>
          </w:tcPr>
          <w:p>
            <w:pPr>
              <w:spacing w:after="0"/>
              <w:rPr>
                <w:sz w:val="20"/>
                <w:szCs w:val="20"/>
                <w:color w:val="auto"/>
              </w:rPr>
            </w:pP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160" w:type="dxa"/>
            <w:vAlign w:val="bottom"/>
            <w:shd w:val="clear" w:color="auto" w:fill="CCEEFF"/>
          </w:tcPr>
          <w:p>
            <w:pPr>
              <w:spacing w:after="0"/>
              <w:rPr>
                <w:sz w:val="20"/>
                <w:szCs w:val="20"/>
                <w:color w:val="auto"/>
              </w:rPr>
            </w:pPr>
          </w:p>
        </w:tc>
      </w:tr>
      <w:tr>
        <w:trPr>
          <w:trHeight w:val="196"/>
        </w:trPr>
        <w:tc>
          <w:tcPr>
            <w:tcW w:w="122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w w:val="98"/>
              </w:rPr>
              <w:t>63/820,837</w:t>
            </w:r>
          </w:p>
        </w:tc>
        <w:tc>
          <w:tcPr>
            <w:tcW w:w="8860" w:type="dxa"/>
            <w:vAlign w:val="bottom"/>
          </w:tcPr>
          <w:p>
            <w:pPr>
              <w:ind w:left="380"/>
              <w:spacing w:after="0" w:line="195" w:lineRule="exact"/>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6/10/2025</w:t>
            </w:r>
          </w:p>
        </w:tc>
      </w:tr>
      <w:tr>
        <w:trPr>
          <w:trHeight w:val="236"/>
        </w:trPr>
        <w:tc>
          <w:tcPr>
            <w:tcW w:w="122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(Pending New Provisional Application)</w:t>
            </w:r>
          </w:p>
        </w:tc>
        <w:tc>
          <w:tcPr>
            <w:tcW w:w="116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63/820,845</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Self-Cleaning and Sanitizing Retail Shelves </w:t>
            </w:r>
            <w:r>
              <w:rPr>
                <w:rFonts w:ascii="Times New Roman" w:cs="Times New Roman" w:eastAsia="Times New Roman" w:hAnsi="Times New Roman"/>
                <w:sz w:val="18"/>
                <w:szCs w:val="18"/>
                <w:i w:val="1"/>
                <w:iCs w:val="1"/>
                <w:color w:val="auto"/>
              </w:rPr>
              <w:t>(Pending New Provisional Application)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6/10/2025</w:t>
            </w:r>
          </w:p>
        </w:tc>
      </w:tr>
      <w:tr>
        <w:trPr>
          <w:trHeight w:val="196"/>
        </w:trPr>
        <w:tc>
          <w:tcPr>
            <w:tcW w:w="122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w w:val="98"/>
              </w:rPr>
              <w:t>63/820,892</w:t>
            </w:r>
          </w:p>
        </w:tc>
        <w:tc>
          <w:tcPr>
            <w:tcW w:w="8860" w:type="dxa"/>
            <w:vAlign w:val="bottom"/>
          </w:tcPr>
          <w:p>
            <w:pPr>
              <w:ind w:left="380"/>
              <w:spacing w:after="0" w:line="195" w:lineRule="exact"/>
              <w:rPr>
                <w:sz w:val="20"/>
                <w:szCs w:val="20"/>
                <w:color w:val="auto"/>
              </w:rPr>
            </w:pPr>
            <w:r>
              <w:rPr>
                <w:rFonts w:ascii="Times New Roman" w:cs="Times New Roman" w:eastAsia="Times New Roman" w:hAnsi="Times New Roman"/>
                <w:sz w:val="18"/>
                <w:szCs w:val="18"/>
                <w:color w:val="auto"/>
              </w:rPr>
              <w:t xml:space="preserve">Advanced Automated Packaging and Delivery System with Intelligent Boxing Technology </w:t>
            </w:r>
            <w:r>
              <w:rPr>
                <w:rFonts w:ascii="Times New Roman" w:cs="Times New Roman" w:eastAsia="Times New Roman" w:hAnsi="Times New Roman"/>
                <w:sz w:val="18"/>
                <w:szCs w:val="18"/>
                <w:i w:val="1"/>
                <w:iCs w:val="1"/>
                <w:color w:val="auto"/>
              </w:rPr>
              <w:t>(Pending New</w:t>
            </w:r>
          </w:p>
        </w:tc>
        <w:tc>
          <w:tcPr>
            <w:tcW w:w="1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6/10/2025</w:t>
            </w:r>
          </w:p>
        </w:tc>
      </w:tr>
      <w:tr>
        <w:trPr>
          <w:trHeight w:val="236"/>
        </w:trPr>
        <w:tc>
          <w:tcPr>
            <w:tcW w:w="122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Provisional Application)</w:t>
            </w:r>
          </w:p>
        </w:tc>
        <w:tc>
          <w:tcPr>
            <w:tcW w:w="1160" w:type="dxa"/>
            <w:vAlign w:val="bottom"/>
          </w:tcPr>
          <w:p>
            <w:pPr>
              <w:spacing w:after="0"/>
              <w:rPr>
                <w:sz w:val="20"/>
                <w:szCs w:val="20"/>
                <w:color w:val="auto"/>
              </w:rPr>
            </w:pP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63/826,078</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Sonic Deterrent System for Unattended Retail Stores </w:t>
            </w:r>
            <w:r>
              <w:rPr>
                <w:rFonts w:ascii="Times New Roman" w:cs="Times New Roman" w:eastAsia="Times New Roman" w:hAnsi="Times New Roman"/>
                <w:sz w:val="18"/>
                <w:szCs w:val="18"/>
                <w:i w:val="1"/>
                <w:iCs w:val="1"/>
                <w:color w:val="auto"/>
              </w:rPr>
              <w:t>(Pending New Provisional Application)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6/18/2025</w:t>
            </w:r>
          </w:p>
        </w:tc>
      </w:tr>
      <w:tr>
        <w:trPr>
          <w:trHeight w:val="216"/>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63/827,236</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6/20/2025</w:t>
            </w:r>
          </w:p>
        </w:tc>
      </w:tr>
      <w:tr>
        <w:trPr>
          <w:trHeight w:val="216"/>
        </w:trPr>
        <w:tc>
          <w:tcPr>
            <w:tcW w:w="12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63/837,248</w:t>
            </w:r>
          </w:p>
        </w:tc>
        <w:tc>
          <w:tcPr>
            <w:tcW w:w="8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34"/>
        </w:trPr>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63/840,274</w:t>
            </w: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areas of focus for our intellectual property include:</w:t>
      </w:r>
    </w:p>
    <w:p>
      <w:pPr>
        <w:spacing w:after="0" w:line="221" w:lineRule="exact"/>
        <w:rPr>
          <w:sz w:val="20"/>
          <w:szCs w:val="20"/>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Robotics: </w:t>
      </w:r>
      <w:r>
        <w:rPr>
          <w:rFonts w:ascii="Times New Roman" w:cs="Times New Roman" w:eastAsia="Times New Roman" w:hAnsi="Times New Roman"/>
          <w:sz w:val="18"/>
          <w:szCs w:val="18"/>
          <w:color w:val="auto"/>
        </w:rPr>
        <w:t>Pneumatic end effector system, integrated retail shelves system (including display, installation, and replacement), and security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automated robotic guards.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Artificial Intelligence: </w:t>
      </w:r>
      <w:r>
        <w:rPr>
          <w:rFonts w:ascii="Times New Roman" w:cs="Times New Roman" w:eastAsia="Times New Roman" w:hAnsi="Times New Roman"/>
          <w:sz w:val="18"/>
          <w:szCs w:val="18"/>
          <w:color w:val="auto"/>
        </w:rPr>
        <w:t>Motion sensor technology and biometric verification, smart inventory management, virtual reality, and repair.</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Automation: </w:t>
      </w:r>
      <w:r>
        <w:rPr>
          <w:rFonts w:ascii="Times New Roman" w:cs="Times New Roman" w:eastAsia="Times New Roman" w:hAnsi="Times New Roman"/>
          <w:sz w:val="18"/>
          <w:szCs w:val="18"/>
          <w:color w:val="auto"/>
        </w:rPr>
        <w:t>Autonomous product management (handling, storage, and delivery), mobile store system (real-time position display, cabinet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rearrangement), and self-operational system (self-repair and self-clean).</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Operations: </w:t>
      </w:r>
      <w:r>
        <w:rPr>
          <w:rFonts w:ascii="Times New Roman" w:cs="Times New Roman" w:eastAsia="Times New Roman" w:hAnsi="Times New Roman"/>
          <w:sz w:val="18"/>
          <w:szCs w:val="18"/>
          <w:color w:val="auto"/>
        </w:rPr>
        <w:t>Assets and techniques (housing unit, mounting, refrigeration, power distribution, and backup), tech-enabled operations (vendor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sanitation, LED lighting, and EMI shielding), and security protection (tracking, tagging, and detection).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Process: </w:t>
      </w:r>
      <w:r>
        <w:rPr>
          <w:rFonts w:ascii="Times New Roman" w:cs="Times New Roman" w:eastAsia="Times New Roman" w:hAnsi="Times New Roman"/>
          <w:sz w:val="18"/>
          <w:szCs w:val="18"/>
          <w:color w:val="auto"/>
        </w:rPr>
        <w:t>Precise item placement, intelligent bagging, and customer-tailored delivery methods.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a trademark application for the mark “VenHub” with the United States Patent and Trademark Office (USPTO), under serial number 97785070. The application was filed on February 7, 2023, and is currently under examination. This trademark is a key asset for protecting our brand identity and marketing efforts. We will continue to monitor the application process and take necessary actions to secure registration of the “VenHub” mark as part of our intellectual property strategy.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not seasonal. However, our revenues and operating results may vary significantly from quarter-to-quarter, due to revenues earned on contracts, the commencement and completion of contracts during any particular quarter, and new store openings. Because a portion of our expenses, such as personnel and facilities costs, are fixed in the short term, successful contract performance and variation in the volume of activity as well as in the number of contracts commenced or completed during any quarter may cause significant variations in operating results from quarter to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employs two full-time employees and over 30 independent contractors. These individuals support key areas of the Company’s operations, including management, technology development, and production. The Company plans to expand its workforce as it scales, including the conversion of independent contractors to full-time employees. Additionally, the Company engaged a Professional Employer Organization (PEO) in October 2025 to optimize costs associated with scaling, streamline payroll and compliance processes, and develop comprehensive fringe benefit programs to attract and retain top talent during the early development cycle of the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senior management team leads strategic planning, business development, and operations. Our technology team focuses on advancing the Company’s robotic AI platform, with an emphasis on software design and enhancing efficiencies for both consumers and store operators. Production and assembly team members prioritize improving processes to support the scalable deployment of our Smart Stores. As the Company grows, we anticipate increasing headcount in these critical areas to support ongoing innovation and operational expansion.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places strong emphasis on fostering an innovative and collaborative work environment. In alignment with SEC Regulation S-K 101(c)(2)(ii), the Company considers human capital measures and objectives material to its operations, including employee recruitment, retention, training, and diversity initiatives. These measures aim to maintain a skilled workforce capable of driving the Company’s strategic goals. Specific programs include providing training in advanced robotics, AI technologies, and operational best practices.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flexible business model allows it to adjust team resources based on sales growth and operational needs. This adaptability supports sustainable growth while aligning with the Company’s financial objectives and strategic priorities.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VenHub Global, Inc. was incorporated in the state of Wyoming on January 31, 2023, as “Autonomous Solutions, Inc.” On August 15, 2024, the Company domesticated in the state of Delaware as “VenHub Global, Inc.” The Company redomiciled in Nevada on October 3, 2025. Our executive offices are located at 5360 Procyon St. Las Vegas, NV 89118. Our website is </w:t>
      </w:r>
      <w:r>
        <w:rPr>
          <w:rFonts w:ascii="Times New Roman" w:cs="Times New Roman" w:eastAsia="Times New Roman" w:hAnsi="Times New Roman"/>
          <w:sz w:val="18"/>
          <w:szCs w:val="18"/>
          <w:i w:val="1"/>
          <w:iCs w:val="1"/>
          <w:color w:val="auto"/>
        </w:rPr>
        <w:t>https://www.VenHub.com</w:t>
      </w:r>
      <w:r>
        <w:rPr>
          <w:rFonts w:ascii="Times New Roman" w:cs="Times New Roman" w:eastAsia="Times New Roman" w:hAnsi="Times New Roman"/>
          <w:sz w:val="18"/>
          <w:szCs w:val="18"/>
          <w:color w:val="auto"/>
        </w:rPr>
        <w:t>. The information contained on our website or accessible thereby shall not be deemed to be incorporated into this Annual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the Company filed Form S-1 with the SEC, which was amended by post-effective amendment(s) on November 21, 2025, December 12, 2025, December 31, 2025, January 15, 2026, and January 21, 2026, which was deemed effective on January 28, 2026. The Company filed Form 8-A12B with the SEC on January 27, 2026.</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before investing in our Common Stock. If any of the following risks occur, our business, operating results, and financial condition could be seriously harmed.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VENHUB’S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2023. We face all the risks associated with newer companies, including significant competition from existing and emerging competitors in the automated smart store industry,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larger-scale commercial activities. If we are not successful in such a transition, our business, results, and financial condition will be harmed.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been profitable to date, and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as we have a limited operating history and our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former independent auditors have issued an audit opinion for the year ended December 31, 2024, for VenHub Global, Inc. that includes a statement describing our going concern status. Our financial status creates doubt whether we will continue as a going concern.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of our accompanying financial statements, our auditors have issued a going concern opinion regarding the Company. This means there is substantial doubt we can continue as an ongoing business for the next twelve months. The financial statements do not include any adjustments that might result from the uncertainty regarding our ability to continue in business. As such, we may have to cease operations and investors could lose part or all of their investment in the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firmware, and software products successfully.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Our expansion plans involve significant reliance on AI technologies and data collection, which come with inherent risks including, but not limited to, data breaches, AI malfunctions, and regulatory changes. We also import key components from China, exposing us to risks of supply chain disruptions and potential trade restrictions. Any failure to manage our growth effectively, or to mitigate these risks, could materially and adversely affect our business, prospects, financial condition and operating results. We intend to expand our operations significantly. We expect our expansion to include:</w:t>
      </w:r>
    </w:p>
    <w:p>
      <w:pPr>
        <w:spacing w:after="0" w:line="18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contract manufacturers and/or expanding our internal manufacturing capabilities;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our autonomous store products. As of the date of this filing, five stores have been developed, including two stores deployed directly by the Company. Our pre-orders and current deployments may not be indicative of future revenue or growth. Any future revenues and growth are dependent on our ability to convert our pre-orders into deployed and revenue-generating units, as well as management’s assessment of market opportunities.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may fluctuate in the future due to a number of factors, including: changes in customer demand for our autonomous store units and related hardware, firmware, and software offerings; customers’ available capital to invest in our products; general economic and market conditions; our ability to market our Company and technology effectively; and evolving industry and regulatory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received pre-orders, we have only limited deployment experience, and therefore have no reliable metric to determine the likelihood that pre-orders will convert into final sales. As a result, our operating results may fluctuate materially from period to period, and at times these fluctuations may be significant and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autonomous store units.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higher interest rates have resulted in a decrease in investment activity and overall capital allocation to hardware startups or for customers to effectively finance the purchase of our products.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planned features are still in development or conceptual and may not be commercialized on our anticipated timeline, if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Version 1 Smart Stores are commercially available today, many of the features we describe in this filing — including ID verification technology for age-restricted products, enhanced AI-driven analytics, solar-powered alternatives, and mobile or retrofit Smart Store formats — are still in development. In addition, we are evaluating a number of longer-term opportunities, such as larger-format Smart Stores, biometric authentication, and expanded personalization capabilities, which remain conceptual at this stage.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pace and timing of development for these features will depend on a variety of factors, including technological feasibility, available capital resources, customer demand, and regulatory requirements. As a result, there can be no assurance that any of these features will be completed, successfully tested, or commercialized within our expected timeframe, or at all. If we are unable to deliver new features as planned, our growth prospects, competitive position, and financial results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certain raw materials and a limited number of suppliers for key components, and any disruption in our supply chain could adversely affect our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Smart Stores require a range of raw materials and specialized components, including structural steel, refrigeration units, robotics hardware, electronic components, sensors, and display systems. While many of these materials are available from multiple sources, certain specialized components — such as robotics assemblies and semiconductor chips — are currently obtained from a limited number of suppliers. Supplier concentration increases our vulnerability to supply chain disruptions.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supply chains for certain materials and components have experienced significant volatility due to factors such as semiconductor shortages, increased demand for electronics, commodity price fluctuations, shipping delays, labor shortages, and geopolitical conditions. If any of our suppliers were unable or unwilling to meet our requirements, or if the cost of raw materials or critical components were to rise significantly, we could face production delays, higher operating costs, or reduced margins.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are pursuing secondary sourcing arrangements and evaluating long-term supply agreements to mitigate these risks, there can be no assurance that such measures will be sufficient. Any material disruption in the supply of raw materials or components could adversely affect our ability to manufacture and deploy Smart Stores on a timely and cost-effective basis, which in turn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computer components and accessories, could materially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Autonomous/robotic smart stores rely on specialized hardware components such as sensors, robotics arms, and computer systems, which are often sourced from a limited number of suppliers. Disruptions in the supply of these critical components — due to manufacturing issues, resource scarcity, or geopolitical tensions — can delay the production or maintenance of the robotic systems, impacting store operations and customer service. Dependence on a few key vendors for essential software and hardware increases vulnerability. If a key vendor fails financially, faces production halts, or discontinues a crucial product line, it could significantly disrupt operations. Developing contingency plans, including identifying alternative suppliers and maintaining strategic stockpiles of essential components, is critical. Supply chain disruptions may delay the timing of production and maintenance of our robots, which in turn could negatively impact our business, results of operations and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most components used in our units are manufactured overseas. The logistics networks that support the delivery and maintenance of robotic components are susceptible to various risks, including transportation delays, regulatory changes, and natural disasters. Disruptions in logistics can lead to inventory shortages, impacting the ability to stock stores and maintain equipment. Shifts in geo-political relationships between the US and component supplier countries could generally limit access to component parts all together. Changes in trade policies, tariffs, and international relations can affect the supply chain’s stability. For example, import restrictions or increased tariffs on goods from a primary supplier country could increase costs or limit access to necessary technology.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As an advanced technologies company, we are also faced with supply chains issues created indirectly from rapidly transforming standards and benchmarks in artificial intelligence and robotics. Rapid advancements in technology can quickly render certain components or software obsolete, complicating maintenance and updates. Managing the lifecycle of technology products, planning for end-of-life components, and staying abreast of new technological developments are essential to minimize this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units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units require certain third-party software and networks to function safely and effectively, and our business relies on certain third-party software obtained under licenses from other companies. Although we continue to develop our own software and firmware products and solutions,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operational performance or even grounding of our operations of autonomous stores until it is resolved, which can adversely impact our ability to continue our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some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a risk could be difficult or impossible to eliminate and could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units as we or others develop new technology, our robotic systems and solutions may not compete effectively with alternative products if we are not able to source and integrate the latest technology into our systems and solutions.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VenHub Smart Stores rely heavily on artificial intelligence for operations of the units. Interruptions, hallucinations, errors, and malfunctions created from our artificial intelligence could limit the functionality of our VenHub Smart stores and cause damage to our reputation in the market.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relies heavily on artificial intelligence (AI) for the automation of our smart stores. While AI enables us to provide highly efficient services, any technical failures, malfunctions, or inaccuracies in AI algorithms could lead to significant operational disruptions. These disruptions could result in lost revenue, customer dissatisfaction, or even legal claims if the failure leads to inaccurate billing or product handling. AI drives most of our core operations, including inventory management, customer interactions, and security. If we experience issues with the AI software, such as bugs, system crashes, or vulnerability to cyberattacks, it could materially affect our ability to operate efficiently. In particular, cyberattacks on AI systems could expose us to data breaches, theft of proprietary information, or operational sabotage, potentially damaging our reputation and exposing us to legal liabilities.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continuous improvement and maintenance of our AI systems are required to keep up with technological advancements and changing customer needs. There is a risk that the integration of new AI technologies, or updates to existing systems, could lead to unexpected bugs, incompatibilities, or performance issues. This could result in temporary service interruptions or diminished operational efficiency, which may negatively impact our financial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AI systems make autonomous decisions in the operation of our smart stores, including inventory management, pricing, and customer service interactions. If these AI-driven decisions are flawed or inaccurate, we could be exposed to liability claims. For example, if an AI system causes damage to customer property or provides misleading product information, we could face lawsuits or fines, harming our reputation and financial standing.</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deployment of artificial intelligence and robotics as a replacement to conventional brick and mortar stores may create social and ethical concerns that could indirectly affect use of our VenHub Smart Stores.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deployment of autonomous systems in retail can lead to significant job displacement, as robots replace human workers in roles such as cashiers, restockers, and customer service representatives. This can result in public backlash and negative media coverage, especially in regions with already high unemployment rates. To mitigate these risks, the Company intends to address these concerns proactively by demonstrating commitment to workforce retraining programs or showing how automation can create new job opportunities in other areas.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Autonomous stores often utilize a variety of sensors and cameras to manage inventory, track purchases, and enhance customer experience. This raises concerns about privacy and the extent of surveillance. Consumers may be wary of being monitored so closely, and any misuse of data can lead to trust issues. Ensuring transparent communication about data use, implementing stringent data protection measures, and adhering to privacy laws are essential steps to mitigate these risks.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Robotic systems must be designed to be accessible to all customers, including those with disabilities. This includes physical accessibility to the store as well as the usability of automated systems. Failure to consider these factors can lead to exclusion and discrimination complaints, potentially resulting in legal consequences and harming the Company’s reputation. Moreover, the introduction of high-tech solutions in retail can widen the socio-economic divide. Those with less access to technology or the internet might find themselves at a disadvantage, unable to benefit from the conveniences offered by autonomous stores. In addition, the use of artificial intelligence in customer interactions and inventory management involves decisions on how AI algorithms are developed and the biases they may contain. There is a risk that AI systems might make decisions that are perceived as unfair or discriminatory. Addressing these concerns involves investing in ethical AI development practices, including transparency in AI decision processes and ongoing monitoring for biased outcomes.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use of AI technologies is subject to evolving laws and regulations that could impose new obligations on our operations. For instance, changes in laws governing data privacy, AI-driven decision-making, or cybersecurity could increase our compliance costs. Additionally, we may face regulatory scrutiny over the fairness, transparency, and accountability of our AI systems, especially if our algorithms are perceived to make biased or unfair decisions affecting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ultimately engage end users could affect our potential to continue to grow the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our business strategy is to sell units to our customers who may then deploy the units as they see fit, so long as such deployment is within the standards set forth in the purchase agreements. Ultimately, acquiring end users will be driven by our customers’ ability to successfully deploy the units for their own business. Although we will continue to support marketing efforts alongside our customers, we cannot ensure adoption of our units and will not manage the operations of the units. Moreover, regardless of our efforts or the efforts of our customers, end user adoption is limited. We know that automated vending machines and kitchens have expanded market share with mixed success. We also know that despite the initial excitement regarding stores like Amazon Go, recent trends suggest that user adoption isn’t sufficient to continue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End users may resist or delay the adoption of our products and services for several reasons, including lack of confidence in autonomous and semi-autonomous delivery vehicles. If our customers resist or delay adoption of our automated smart store systems, our business, prospects, financial condition and operating results will be materially and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increase the risk of failure. Any such occurrence could cause a delay in market acceptance of our products, damage to our reputation, product recalls, increased service and warranty costs, product liability claims and loss of revenue relating to such hardware or software defects.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Pursuant to NRS 78.138(3), our Board of Directors has determined that initiating actions to protect our intellectual property, when necessary, is in the best interests of the corporation, despite the costs and time involved, as such actions are essential to protecting our business assets and competitive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are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automated systems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the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our capital expenditures to remain significant in the foreseeable future as we continue to develop, improve, and commercialize our autonomous store systems. Although based on our current cash resources and management’s operating plan we believe we will have sufficient liquidity to fund our currently planned operations for the near term, our ability to sustain operations and implement our growth strategy will require raising additional capital.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actual capital needs will depend on a variety of factors, many of which are outside of our control. These include: the pace at which we can commercialize and scale our autonomous stores; the cost and timing of research and development activities; manufacturing and deployment expenses; customer demand; general economic conditions; and potential unanticipated costs such as accelerated product improvements, strategic alliances, or acquisitions. Because we have limited experience commercializing our autonomous stores on a large scale, we have little historical data on long-term demand, which makes our capital requirements inherently uncertain.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meet these needs, we will likely be required to seek additional equity or debt financing. Such financing may not be available in a timely manner, on acceptable terms, or at all. If available, additional equity or equity-linked securities could dilute existing stockholders, while debt financing could increase our leverage and impose restrictive covenants. If we are unable to raise sufficient funds when needed, we may be forced to significantly reduce our spending, delay or cancel planned activities, alter our growth strategy, or even curtail or discontinue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currently do not have any debt obligations, future financings may require that we engage with similar institutions, exposing ourselves to greater risk. Furthermore,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Variations in local permitting and zoning rules may delay or even prevent roll out of VenHub Smart Stores in certain locales that could affect our overall footprint.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and its customers may face challenges in obtaining local permits and complying with zoning ordinances, which could adversely affect the deployment and operation of Smart Stores. Navigating the complex and varied permitting processes and zoning laws across different jurisdictions can lead to delays, additional costs, or the inability to operate in certain areas. These regulatory hurdles could impede our expansion efforts, disrupt our business plans, and negatively impact our financial performance. Moreover, although we have designed and built our first stores with California and Nevada regulations in mind, varied or additional requirements may require additional efforts in design and build of VenHub Smartstores that may slow production and delivery of VenHub Smartstores. Furthermore, any changes in local regulations or enforcement practices could further complicate compliance efforts and introduce additional operational risks.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where our customers deploy the autonomous smart stores, as well as in the broader economy.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Purchases at autonomous smart stores are discretionary for consumers, and therefore, we are susceptible to changes in discretionary spending patterns or economic slowdowns in the geographic areas where these stores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are generally more willing to make discretionary purchases, including shopping at autonomous smart stores during favorable economic conditions. Disruptions in the overall economy (including disruptions due to coronavirus (“COVID-19”) or similar health/pandemic events), including high unemployment, inflation, rising gasoline prices, financial market volatility and unpredictability, and the related reduction in consumer confidence, could negatively affect sales throughout the autonomous smart store industry, including transactions on our partners’ platforms. Additionally, operators of these autonomous stores may be negatively impacted by general economic conditions, supply chain issues, labor shortages, inflation, or other macroeconomic factors, which could negatively impact their ability to fulfil customer needs. There is also a risk that if uncertain economic conditions persist for an extended period of time or worsen, consumers might make long-lasting changes to their discretionary spending behavior, including shopping less frequently at these autonomous stores.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autonomous stores to cease operations or cease using our partners’ platforms, it could also significantly harm our financial results, for the reasons set forth elsewhere in these risk factors.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autonomous systems. For example, we have observed an increase in the cost of labor for managing and maintaining autonomous systems in the field over the past year. However, over the longer time horizon, technological improvements continue to reduce the cost of our key components such as sensors, batteries, and computers. While the unit cost of labor for operating these systems will increase over time with inflation, autonomous technology leverages labor more efficiently than manual retail operations. As such, we believe labor inflation increases the cost of manual retail operations more than it increases the cost of operating autonomous systems. However, we believe improvements in automation will continue to reduce the rate of labor usage.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autonomous smart stores are disruptive to the traditional convenience store, retail stores, pharmacies, lockers, and any and all distribution or sales outlets and vending industries, and important assumptions about the market demand, pricing, adoption rates and sales cycle for our current and future stores may be inaccurate.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demand for and adoption of our autonomous stores is unproven, and important assumptions about the characteristics of targeted markets, pricing and sales cycles may be inaccurate. Although we have engaged in ongoing dialogue with potential customers, we have no binding commitments to purchase products and services.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any projections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their lifecycle.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Company’s business segments and operations could create additional costs and complications that could burden the growth of the Company.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VenHub considers expanding its business segments by operating VenHub-owned stores and developing relationships with white label or other enterprise operations, there are inherent risks associated with such changes. Transitioning from a sales-focused model to operating VenHub-owned stores could require substantial operational adjustments, including resource allocation, management restructuring, and the development of new strategic competencies. Additionally, aligning with white label or enterprise partners may introduce complexities in integration, quality control, and brand consistency. These shifts in business lines could be disruptive, potentially lead to operational challenges, inefficiencies, and increased expenditures. Any inability to effectively manage these transitions could adversely impact VenHub’s business operations, financial performance, and market positioning.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stockholders have significant influence over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Shahan Ohanessian, along with his wife, Shoushana Ohanessian, who sits as Chairwoman of the Board of Directors, hold, through their limited liability company SSO, LLC, 57,935,029 shares of Common Stock, and 100,000 Series C Preferred Stock which, have voting rights equal to exactly 1,000 votes per each share of Series C Preferred Stock, for a total of 15,7935,029 votes. As a result, Mr. and Mrs. Ohanessian will collectively hold over 87% voting rights on all matters presented to shareholders, limiting shareholders’ ability to affect decision making.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employment agreements include significant cash bonus and equity award provisions, which could increase our expenses or result in substantial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provide for base salaries, potential cash bonuses, and equity awards tied to geographic expansion and performance milestones. While the aggregate potential annual cash bonuses under these agreements could total up to $3.2 million,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also provide for equity-based awards that could result in the issuance of a significant number of additional shares if geographic expansion or performance milestones are achieved. For example, the agreements contemplate issuances of up to 1,000,000 shares per U.S. state and 2,000,000 shares per country in which we open or operate Smart Stores, as well as 1,000,000 shares for every 30 Smart Stores launched or sold and 2,000,000 shares upon the listing of our common stock on a national securities exchange. If these milestones are met, the resulting issuances could substantially dilute the ownership interests of our existing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these cash and equity obligations could adversely affect our liquidity, results of operations, and the value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incorporation in Nevada may have adverse effects on stockholder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incorporation in Nevada subjects stockholder rights to the Nevada Revised Statutes, which may materially affect such rights, increase legal uncertainty, and adversely impact market perceptions. Upon reincorporation, the rights of our stockholders and the fiduciary duties of our directors and officers will be governed by the Nevada Revised Statutes (“NRS”), which differ in certain material respects from the Delaware General Corporation Law (“DGCL”). The NRS provides broader statutory protections for directors and officers and lacks the extensive body of judicial precedents available in Delaware, potentially increasing uncertainty in the interpretation and enforcement of corporate law and the resolution of stockholder disputes.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 legislative developments may further complicate the corporate-law landscape. In March 2025, Delaware enacted significant amendments to the DGCL relating to controller transactions, definitions of “controlling stockholder” and “disinterested director,” and books-and-records inspection rights. Nevada and Texas have likewise adopted amendments aimed at enhancing their attractiveness as incorporation jurisdictions. Changes in any of these regimes may affect how courts evaluate our governance structures or stockholder claims, including the enforceability of charter and bylaw provisions.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proxy advisory firms have increased scrutiny of reincorporations in 2025 and may issue adverse voting recommendations. Negative sentiment among institutional investors or proxy advisors toward Nevada-domiciled companies could negatively affect our corporate governance scores or the trading market for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face additional litigation risks and costs related to our forum-selection provisions in our Amended and Restated Bylaws in connection with the reincorporation. Under Nevada Revised Statutes § 78.747, we may adopt exclusive forum provisions for internal corporate claims. While Nevada law expressly permits such provisions, they may still be subject to legal challenges, potentially resulting in parallel proceedings, increased costs, or unenforceable provisions. (See “Description of Securities—Certain Provisions of Nevada Law and of Our Governing Documents.”)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the reincorporation is subject to obtaining requisite corporate approvals and effecting necessary filings. Any delay or failure to complete the reincorporation on our anticipated timeline could result in increased expenses and may divert the attention of management.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manufacturing partners and suppliers may rely on complex machinery for production, which involves a significant degree of risk and uncertainty in terms of operational performance and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including wild fires,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autonomous store systems,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autonomous store systems to meet projected performance metrics, identify and investigate new areas of demand and successfully market our autonomous store services, but also to sell, whether outright or through subscriptions, our systems at prices needed to achieve our expected margins and control our costs, including the risks and costs associated with operating, maintaining and financing our autonomous store systems. If we are unable to efficiently design, develop, manufacture, market, deploy, distribute and service our robots in a cost-effective manner, our margins, profitability and prospects would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have designed our units to be assembled on site with minimal additional manufacturing requirements. However, we have yet to engage in full scale delivery of units. We may underestimate the costs and labor associated with both pre-assembly production and the delivery of our systems on a large scale.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or utilize energy in our autonomous smart stores.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Autonomous and robotic smart stores operate at the intersection of multiple regulatory environments, including retail, consumer safety, data protection, and advanced technologies involving robotics and artificial intelligence. Each jurisdiction may have distinct and possibly conflicting requirements, making compliance complex and burdensome. For example, specific licenses might be required to operate robotic equipment in public spaces, or there might be stringent regulations governing the sale of goods through automated systems or the collection of personal customer data. These conflicting regulatory schemes may limit our ability to provide the most sophisticated products and slow development for future offerings. Our initial model for deployment is to sell units and SaaS to our customers.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currently, intend to operate the autonomous smart stores, with the exception of several flagship locations, along with any other stores that we may use to seed market locations, for R&amp;D purposes, or as otherwise requested by local jurisdictions or others. The burden of regulatory compliance will be eased by shifting liabilities to customers. However, this could result in fewer sales if we are unable to provide products that are not ultimately compliant across multiple jurisdictions and multiple layers of regulations.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the withdrawal or recall of our products from the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operate our autonomous smart stores or utilize energy to deliver our services.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components from our autonomous smart stores.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autonomous smart stores;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autonomous smart stores.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and service our autonomous smart stores,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privacy-and security-related incidents and may face increased costs and requirements to expend substantial resources in the event of an actual or perceived privacy or security breach or other incident.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with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w:t>
      </w:r>
    </w:p>
    <w:p>
      <w:pPr>
        <w:spacing w:after="0" w:line="27" w:lineRule="exact"/>
        <w:rPr>
          <w:sz w:val="20"/>
          <w:szCs w:val="20"/>
          <w:color w:val="auto"/>
        </w:rPr>
      </w:pPr>
    </w:p>
    <w:p>
      <w:pPr>
        <w:jc w:val="both"/>
        <w:ind w:firstLine="8"/>
        <w:spacing w:after="0" w:line="253" w:lineRule="auto"/>
        <w:tabs>
          <w:tab w:leader="none" w:pos="1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to violating these laws increases as our international presence expands and as we increase sales and operations in foreign jurisdictions.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8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result in material misstatements of our financial statements and impair our ability to produce timely and accurate financial information.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material weaknesses, management concluded that our internal control over financial reporting was not effective as of December 31, 2025. Although we have implemented certain remediation measures and continue to take steps to strengthen our internal control environment, our efforts may not be sufficient to remediate these material weaknesses in a timely manner or at all.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and maintain effective internal control over financial reporting, we may be unable to accurately report our financial results on a timely basis. This could result in restatements of our financial statements, regulatory scrutiny, loss of investor confidence, or a decline in the market price of our securities. Additionally, ineffective internal controls could cause us to incur increased costs associated with compliance, internal control remediation efforts, and potential litigation or regulatory actions.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Executive Cash Compensation Obligations May Adversely Affect Our Liquidity and Operational Flexibility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executive employment agreements, we are obligated to pay high base salaries, guaranteed cash bonuses, expense allowances, and severance benefits. These commitments include annual cash bonuses totaling over $3.2 million and significant severance entitlements.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substantial cash obligations may adversely affect our ability to allocate capital for operating activities, research and development, or growth initiatives. If our revenues fail to meet projections or we are unable to secure additional financing, our cash obligations to executives could strain our financial condition and limit our operational flexibility.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Under Nevada law (NRS 78.7502), we are permitted to, and our bylaws require us, to indemnify our current and former directors and officers who are named as defendants in these types of lawsuits to the fullest extent permitted by Nevada law, subject to certain limitations.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significantly impacted by pandemics, outbreaks of other contagious diseases and other catastrophic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maintain our automated systems due to technical issues, we may not be able to operate our automated smart stores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“Risk Factors” section. Any of the foregoing factors, or other cascading effects of the pandemic that are not currently foreseeable, could adversely impact our business, financial performance and condition and results of operations.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Of 2012 may make it more difficult to raise capital when we need to do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and may take advantage of certain exemptions from various reporting requirements that are applicable to other public companies that are not emerging growth companies. These exemptions include, but are not limited to, reduced disclosure obligations regarding executive compensation, exemptions from the requirement to obtain an auditor attestation report on the effectiveness of internal control over financial reporting under Section 404(b) of the Sarbanes-Oxley Act, and relief from certain other public company reporting requirements.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for complying with new or revised financial accounting standards applicable to public companies. As a result, our financial statements may not be comparable to those of other public companies that are not emerging growth companies or that have opted out of using the extended transition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these exemptions, some investors may find our securities less attractive, which could make it more difficult for us to raise additional capital as and when we need it. We will remain an emerging growth company until the earliest to occur of (i) the last day of the fiscal year in which we have total annual gross revenues of $1.235 billion or more, (ii) the last day of the fiscal year following the fifth anniversary of the date of the first sale of our common stock pursuant to an effective registration statement, (iii) the date on which we have issued more than $1.0 billion in non-convertible debt during the previous three-year period, or (iv) the date on which we are deemed to be a “large accelerated filer” under the Securities Exchange Act of 1934.</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cease to qualify as an emerging growth company, we would be required to comply with additional reporting and disclosure requirements applicable to other public companies, including compliance with new or revised accounting standards as of the dates required for other public companies and, potentially, the auditor attestation requirements of Section 404(b) of the Sarbanes-Oxley Act. These additional requirements could increase our legal, accounting, and compliance costs and place additional demands on our management and financial resources.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investors believe that our financial reporting is less transparent or comparable than that of other companies, they may be less willing to invest in our securities. Any such perception could adversely affect the trading price of our common stock and our ability to raise additional capital, which could materially and adversely affect our financial condition and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required to comply with certain provisions of the Sarbanes-Oxley Act for as long as we remain an “emerging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comply with the SEC rules that implement Sections 302 and 404 of the Sarbanes-Oxley Act and are therefore not required to make a formal assessment of the effectiveness of our internal controls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Though we will be required to disclose changes made in our internal control procedures on a quarterly basis, we will not be required to make our first annual assessment of our internal control over financial reporting pursuant to Section 404 until the later of the year following our first annual report required to be filed with the SEC, or the date we are no longer an “emerging growth company” as defined in the JOBS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disclosure requirements applicable to emerging growth companies may make our common stock less attractive to investors.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ongoing costs and expenses for SEC reporting and compliance, with minimal revenues and operations at a net loss we may not be able to remain in compliance, making it difficult for investors to sell their shares, if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Going forward, the Company will have ongoing SEC compliance and reporting obligations, estimated as approximately $1,000,000 annually. Such ongoing obligations will require the Company to expend additional amounts on compliance, legal and auditing costs. In order for us to remain in compliance, we will require future revenues to cover the cost of these filings, which could comprise a substantial portion of our available cash resources. If we are unable to generate sufficient revenues to remain in compliance, it may be difficult for you to resell any shares you may purchase,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will control and make corporate decisions that may differ from those that might be made by the other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controlling amount of their share ownership in our Company, our chief executive officer will have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may vary significantly in the future which may adversely affect the price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our quarterly revenues and operating results may vary significantly in the future and period-to-period comparisons of our revenues and operating results are not necessarily meaningful indicators of the future. You should not rely on the results of one quarter as an indication of our future performance. It is also possible that in some future quarters, our revenues and operating results will fall below our expectations or the expectations of market analysts and investors. If we do not meet these expectations, the price of our common stock may decline significantly.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Unlikely To Pay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paid, nor do we intend to pay in the foreseeable future dividends on our common stock, even if we become profitable. Earnings, if any, are expected to be used to advance our activities and for general corporate purposes, rather than to make distributions to stockholders. Prospective investors will likely need to rely on an increase in the price of Company stock to profit from an investment. There are no guarantees that any market for our common stock will ever develop or that the price of our stock will ever increase. If prospective investors purchase Shares pursuant to this Offering, they must be prepared to be unable to liquidate their investment and/or lose their entire investment.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we are not in a financial position to pay dividends on our common stock, and future dividends are not presently being contemplated, investors are advised that return on investment in our common stock is restricted to an appreciation in the share price. The potential or likelihood of an increase in share price is questionable at best.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market price for the shares may be volatile.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the Company has its common stock listed on the Nasdaq, the market price for the resulting shares is likely to be highly volatile, and subject to wide fluctuations in response to various factors including the following: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Company’s quarterly operating results and revisions to expected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U.S.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federal, state or local regulations related to artificial intelligence, automated retail technology, digital payment systems, personal data protection, and robotics;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specializing in comparable companies having securities traded on a national exchange;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Company or its competitors of new services, strategic relationships,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assets or intellectual property;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shares.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 Bylaws designate the state courts of Nevada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state courts of the State Nevada will be the sole and exclusive forum for any claims in state court for (1) any derivative action or proceeding brought on our behalf, (2) any action asserting a claim of breach of a fiduciary duty owed by any of our directors, officers, other employees, or stockholders to us or our stockholders, (3) any action asserting a claim against us arising pursuant to any provision of Chapter 78 of Nevada Revised Statutes, our articles of incorporation or our bylaws, or (4) any other action asserting a claim against us that is governed by the internal affairs doctrine; provided that for the avoidance of doubt, the forum selection provision that identifies the state courts of the State Nevada as the exclusive forum for certain litigation, including any “derivative action”, will not apply to suits to enforce a duty or liability created by Securities Act, the Exchange Act, or any other claim for which the federal courts have exclusive jurisdiction.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certificate of incorporation will also provide that, unless we consent in writing to the selection of an alternative forum and to the fullest extent permitted by law, the federal district courts of the United States shall be the exclusive forum for the resolution of any complaint asserting a cause of action arising under the Securities Act, While there can be no assurance that federal or state courts will follow the holding of the Nevada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incorporation will further provide that any person or entity purchasing or otherwise acquiring or holding any interest in shares of our capital stock is deemed to have notice of and consented to the provisions of our articles of incorporation described above. The forum selection provision in our articles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Equity-Based Compensation to Executives Will Result in Substantial Dilution to Existing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employment agreements include significant equity-based compensation, including fully vested annual equity grants and milestone-based share issuances tied to geographic expansion and operational milestones. These issuances could result in the issuance of tens of millions of additional shares of our common stock over the course of the agreements. As a result, existing stockholders will experience substantial dilution in their ownership and voting interests, which may depress the market price of our common stock. The potential for dilution is further compounded by the fact that such equity grants are not contingent on continued employment or achievement of future performance metrics in certain instances.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own any real property. The Company’s principal business and corporate address is 5360 Procyon Street Las Vegas, NV 89118 which is comprised of office and warehouse/assembly space.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 with a base rent of $15,000.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10, 2025, the Company entered into a new lease agreement for an assembly production facility in Las Vegas, Nevada. The right to use, triple net lease is for a term of two years with two option renewal periods totaling up to four additional years that the Company is likely to subsequently exercise with a base rent of $12,371.</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29, 2025, the Company signed a right of entry Los Angeles County Metro Transportation Authority for its flagship Company owned store. The right of entry is month to month with a $2,000 monthly fee.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2025, the Company entered into a kiosk lease agreement with the Los Angeles County Metropolitan Transportation Authority for Kiosk Space 7 and Storage Space 3 located at Union Station East, Los Angeles, California for a term of three years . The right to use lease provides for fixed monthly base rent and fixed additional rent (common area charges), for $2,000 total, with scheduled increases over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continuing to explore expansion of our production and facilities to the East Coast, Central US and Southern US. Once our domestic expansion has been completed, we plan to expand into other continents and countries. We plan on developing locations to meet demand while also partnering with other parties to optimize customer reach and costs associated with deploying our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trading under the symbol “VHUB.”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23, 2026, there were approximately 2,785 stockholders of record of our common stock. This number does not include shares held by brokerage clearing houses, depositories, or others in unregistered form. The stock transfer agent for our securities is VStock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anticipate paying dividends on the Common Stock at any time in the foreseeable future. The Company’s Board of Directors currently plans to retain earnings for the development and expansion of the Company’s business. Any future determination as to the payment of dividends will be at the discretion of the Board of Directors of the Company and will depend on a number of factors including future earnings, capital requirements, financial conditions and such other factors as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adopted an equity compensation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from April 15, 2023 through December 31, 2025 (the “Reporting Period”), we issued the following unregistered securities. Unless otherwise indicated, share amounts are presented on an as-issued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Issuances for Services Rendered (Section 4(a)(2))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April 15, 2023 through December 31, 2025, we issued an aggregate of 7,858,308 shares of common stock to consultants and other service providers as consideration for bona fide services (the “SR Issuances”).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Placements for Cash (Rule 506(b))</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we completed a private placement of Units, each Unit consisting of two (2) shares of common stock and one (1) warrant to purchase one share of common stock. We sold 405,162 Units at $8.64 per Unit for gross proceeds of $3,500,000. The accompanying warrants carry a $4.32 per-share exercise price and are otherwise on customary private-placement terms. In total, the Unit sale resulted in the issuance of 810,184 common shares and 405,162 warrants.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Use of proceeds: All cash proceeds from this financing were used to purchase parts and accessories for VenHub Smartstore testing and units for sale, consistent with our financial statement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Pursuant to Settlement with TGAA (Section 4(a)(2))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CF — Series B Preferred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or about September 30, 2025 (conversion solely for illustration of potential dilution; the sales reported here were the unregistered Reg CF sales of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 Amounts raised under Regulation CF were used to purchase parts and accessories for VenHub Smartstore testing and units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Information Applicable to All Unregistered Sales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no shares of our Common Stock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financial statements, which we have prepared in accordance with accounting principles generally accepted in the United States of America. This discussion should be read in conjunction with the other sections of this Form 10-K, including “Risk Factors,” and the Financial Statements. The various sections of this discussion contain a number of forward-looking statements, all of which are based on our current expectations and could be affected by the uncertainties and risk factors described throughout this Annual Report on Form 10-K. See “Forward-Looking Statements.” Our actual results may differ materially.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“Management’s Discussion and Analysis of Financial Condition and Results of Operation,” except where the context otherwise requires, the term “we,” “us,” “our,” or “the Company,” refers to the business of VenHub Global, Inc.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Organizational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LLC to manage manufacturing, assembly and installation of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Services LLC to provide software-as-a-service (SaaS) and ongoing maintenance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IP, LLC to hold and manage the Company’s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Stores LLC, to manage all Company owned stores.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employees, VenHub offers store owners labor cost savings, paving the way for potential increased profits. Leveraging sensors, artificial intelligence, and robotics, VenHub promises a shopping adventure that is not only seamless but also deeply personal. With a tap of a smartphone, and let VenHub’s robots whisk you through a journey, from scanning and purchasing products to bagging and delivering them with planned precision.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“Business of VenHub and Certain Information About VenHub,” the Company’s Smart Stores are delivered as fully functional physical autonomous retail units capable of performing core physical and mechanical robotic operations using embedded software installed at deployment. SaaS activation is not required for the Smart Store to perform these core physical functions and is addressed separately pursuant to distinct SaaS agreements as the Company transitions to scaled commercial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 the initial deployment phase of its Smart Store platform. While customer agreements contemplate that purchasers will subscribe to the Company’s cloud-based SaaS platform, the enhanced SaaS functionality has not yet been activated for customer use. For early deployments, the Company has implemented an introductory concession under which SaaS subscription fees may be waived for up to twelve months. Accordingly, no SaaS revenue has been recognized to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filing, none of the Company’s deployed Smart Stores have software-as-a-service (“SaaS”) functionality activated, and the Company does not currently provide analytics, dashboards, reporting tools, or other operator-facing software to store owners or operators. Any mobile application functionality is limited to consumer product browsing, ordering, and checkout, is provided free of charge to customers, and is not part of the Company’s SaaS platform. The Company expects to introduce customer-accessible and operator-accessible SaaS functionality in future Smart Store versions under separate commercial terms.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has deployed five (5) Smart Stores, and none of these stores have SaaS functionality activated. Accordingly, five of five (5 of 5), or 100%, of the Company’s deployed Smart Stores are currently operating without SaaS activation.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VenHub was first displayed publicly on October 25, 2023, in Pasadena at the unveiling of its Alpha Smart Store with approximately 150 attendees.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since launched a full assembly production facility in Las Vegas, Nevada to meet the market demand.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core of VenHub will be an intelligent algorithm that understands your unique preferences, by tracking customer tastes and curating a selection that caters specifically to the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VenHub aims to revolutionize the way people shop for their daily necessities, its vision is to create a world where shopping is effortless, convenient and accessible.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over 1,400 pre-orders from potential customers. The Company started fulfilling its orders in the first quarter of 2025, selling its first two stores in North Hollywood, and Glendale, California respectively. In the second quarter VenHub opened its Company owned flagship store at Los Angeles Airport (LAX) In the third quarter the Company sold a store which opened in Hollywood, CA. VenHub deployed a Company owned store at Union Station Los Angeles during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limited operating history. The Company was formed as a corporation in 2023. We have limited established business operations, and it is currently unclear, if any, of our current and intended plans may come into fruition and, if they do, which ones will be a success. To date, the Company has incurred net losses and has generated limited revenue. There is no assurance that the Company will ever be able to establish successful business operations, become profitable or generate sufficient revenues to operate our business or pay dividends.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Defects, failures or security breaches in and inadequate upgrades of, or changes to, our vending machines and its accompanying software could harm our business. The operation of our business depends on sophisticated software, hardware, computer networking and communication services that may contain undetected errors or may be subject to failures or complications. These errors, failures or complications may arise particularly when new, changed or enhanced products or services are added. Future upgrades, improvements or changes that may be necessary to expand and maintain our business could result in delays or disruptions or may not be timely or appropriately made, any of which could seriously harm our operations. Further, certain aspects of the operating systems relating to our business are provided by third parties, including telecommunications. Accordingly, the effectiveness of these operating systems is, to a certain degree, dependent on the actions and decisions of third parties over whom we may have limited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on key personnel and faces challenges recruiting needed personnel. The Company’s future success depends on the efforts of a small number of key personnel. In addition, due to its limited financial resources and the specialized expertise required, it may not be able to recruit the individuals needed for its business needs. There can be no assurance that the Company will be successful in attracting and retaining the personnel the Company requires to operate and be innovative.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to date has been derived primarily from the sale of Smart Stores and product sales in our Company owned stores. Revenue from Smart Store sales is recognized when control of the unit transfers to the customer, generally upon delivery. The revenue from product sales (items sold through the VenHub store) is recognized when control of the product transfers to the end customer, which generally occurs at the point of sale when the customer completes the transaction and the product is dispensed from the Smart Store.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our initial Smart Store deployments, the Company has granted a temporary commercial waiver of SaaS consideration for up to twelve (12) months for initial deployments. During this period, the Company does not provide the enhanced cloud-based functionality contemplated by the agreement. This introductory waiver applies only to SaaS services. For example, during the year ended December 31, 2025, the Company entered into SaaS agreements in connection with the North Hollywood and Glendale Smart Stores. While these agreements were executed, the transaction price allocated to SaaS was zero because the Company elected not to provide such services as part of its early commercialization strategy. As a result, no revenue related to SaaS or maintenance services has been recognized for the periods presented. When implemented, SaaS revenue will be recognized ratably over the subscription term, typically one year, and maintenance revenue will be recognized over the contract period. We believe these services will represent a growing and recurring component of our revenue model in future periods.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Introductory SaaS Concession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early customer adoption and refine the performance of initial deployments, the Company implemented an introductory concession under which customers receive up to twelve months of SaaS access at no charge. During this period, the enhanced cloud-based SaaS functionality has not been activated, and therefore no SaaS revenue has been recognized. The introductory waiver applies only to SaaS services. Because SaaS subscription fees are waived during the introductory period, the transaction price allocated to SaaS is $0 for the periods presented, and all consideration is allocated to the Smart Store hardware in accordance with ASC 606-10-32-28. Maintenance services must be contracted separately and were not contracted for in the periods presented.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evaluated its revenue arrangements in accordance with ASC 606-10-25-19 through 25-22 and determined that Smart Store hardware, SaaS services, and maintenance services are separate performance obligations. The Smart Store is fully functional upon delivery without SaaS activation, the SaaS platform does not significantly modify or customize the hardware, and the promises are not highly interdependent or interrelated. As a result, Smart Store revenue is recognized at a point in time, while SaaS and maintenance revenues, once activated or contracted, will be recognized over time. For product sales, revenue is typically recognized at the point in time when control is transferred, which generally occurs upon shipment or delivery, depending on the terms of the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reflected in the accompanying financial statements, during the year ended December 31, 2025, the Company incurred a working capital deficit of $9,192,737 and negative cash flows from operating activities. These factors raise substantial doubt regarding the Company’s ability to continue as a going concern. We have evaluated the conditions or events that raise substantial doubt about the Company’s ability as a going concern within one year of issuance of the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is continuing operations and generating revenues, the Company’s cash position is not significant enough to support the Company’s daily operations. During the next twelve months, the Company intends to fund its operations with funds from revenue-producing activities by fulfilling the pre order list along with exploring both additional equity and debt financing. If the Company cannot secure additional short-term capital, it may cease operations. The ability of the Company to continue as a going concern is dependent upon our ability to further implement its business plan and generate revenues and cash flows. The financial statements do not include any adjustments that might be necessary if the Company is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to the Financial Statements for liabilities measured at fair value at December 31,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bases of assets and liabilities using enacted tax rates in effect for the fiscal year in which the differences are expected to reverse. Deferred tax assets are reduced by a valuation allowance to the extent management concludes it is more likely than not that the assets will not be realized. Deferred tax assets and liabilities are measured using enacted tax rates expected to apply to taxable income in the fiscal years in which those temporary differences are expected to be recovered or settled. The effect on deferred tax assets and liabilities of a change in tax rates is recognized in the statement of operations in the period that includes the enactment date.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adjustments and adjusts the income tax provision, income taxes payable and deferred taxes in the period in which the facts that give rise to a revision become known. As of December 31, 2025, the Company does not believe any provisions are required in connection with uncertain tax positions as there are 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as compensation expense all share-based payment awards made to employees, directors, and consultants including grants of stock, stock options and warrants, based on estimated fair values. Fair value is generally determined based on the closing price of the Company’s common stock on the date of grant and is recognized over the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2025 as Compared to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cost of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$864,450 of revenue and $583,760 in cost of goods sold for the year ended December 31, 2025. $750,000 of the revenue was related to our store sales and $114,450 relating to our store product revenue from our Company owned stores. VenHub incurred $513,778 in cost of goods sold relating to our smart store revenue and $69,982 relating to product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revenue or cost of goods sold for the year ended December 31, 2024, as the Company was still developing its prototype store through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2025</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2025 were $39,711,655. This was comprised of $31,891,975 in share based compensation, $1,852,378 in contractor expense, $1,435,000 in accrued payroll and compensation, $1,215,098 in research and development relating to developing and enhancing the smart store, $938,678 in legal and professional expense, $740,731 in advertising, $548,751 in travel, $453,064 in rent, $173,594 in software, $106,221 in dues and subscriptions, $104,728 in utilities, , $104,643 in deprecation, $47,619 in office supplies, $37,095 in insurance, $19,861 in repairs and maintenance, $14,167 in meals and entertainment and $28,052 in miscellaneous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$22,968,198 in other expense for the year ended December 31, 2025 consisting of $22,287,419 in settlement expense, $563,069 in interest expense and $117,710 of change in fair value of convertible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$62,399,163 for the year ended 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2024 were $9,034,016. This was comprised of $4,515,182 of non-cash share based compensation, $1,270,000 in accrued payroll and compensation, $875,975 for research and development relating to developing and enhancing the smart store, $771,864 in advertising in relation to our crowdfunding efforts, $718,041 in contractor expense, $262,724 in legal and professional expense, $209,388 in travel, $103,648 in rent, $74,176 in software, $62,967 in dues and subscriptions $48,279 in depreciation, $46,298 in office supplies, $30,614 in utilities, $17,774 in repairs and maintenance, $14,938 in meals and entertainment and $12,148 in miscellaneous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$358,686 of other expense comprised of $165,889 in interest expense and $192,797 in change of fair value of convertible debt for the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$9,392,702 for the year ended December 31, 2024.</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2025, Compared to 2024</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 Category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Change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Borders>
              <w:bottom w:val="single" w:sz="8" w:color="CCEEFF"/>
            </w:tcBorders>
          </w:tcPr>
          <w:p>
            <w:pPr>
              <w:spacing w:after="0"/>
              <w:rPr>
                <w:sz w:val="24"/>
                <w:szCs w:val="24"/>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31,891,975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27,376,793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606.3%</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1,852,378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1,134,337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875,975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339,123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938,678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675,954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740,731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771,864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548,751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339,363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453,064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349,416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337.1%</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99,418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Dues and subscriptions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106,221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104,728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74,114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104,643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56,364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supplies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47,619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37,095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34,268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1212.2%</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19,861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9,034,016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30,677,639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339.6%</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$39.7 million in 2025 from $9.0 million in 2024, an increase of $30.7 million, or 339.6%. The increase was primarily driven by a $27.4 million rise in share-based compensation, which represented the largest component of operating expenses in 2025 and was associated with equity issued for services, settlements, and financing-related activities.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Contractor expense increased by $1.1 million, or 158%, as the Company relied more heavily on third-party engineers and deployment personnel to support commercialization. Legal and professional fees increased by $676,000, or 257%, primarily due to audit, legal, and regulatory costs associated with financing transactions and public-company readiness.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and professional fees increased by $676,000, or 257%, primarily due to increased audit, legal, accounting, and regulatory costs associated with financing transactions, corporate governance initiatives, and public-company readiness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increased by $339,000, or 38.7%, reflecting continued investment in hardware, robotics, and software enhancements.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Travel, rent, utilities, software, and depreciation expenses also increased as the Company expanded facilities and deployment activities in support of early commercial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Payroll and compensation increased modestly by 13% year over year as headcount expanded to support engineering, manufacturing, and administrative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remained relatively consistent with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Net Loss increased by $52,931,030 from $9,468,133 for the year ended December 31, 2024 to $62,399,163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negative working capital of $9,192,737 consisting of $89,634 in cash, $1,021,947 in inventory, and $248,032 in prepaid expenses $2,000 in security deposit - current, offset by $4,576,949 in convertible debt at fair value, $2,114,487 in accrued payroll and compensation, $1,500,000 in deferred revenue relating to down payments for pre orders, $1,000,000 in loan payable – related party, $716,329 in accounts payable and accrued expenses, $346,953 in current operating lease liability, $203,645 in customer deposits and $89,148 in interest payable and $6,839 in sales tax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$1,275,078 in property and equipment — net, $907,705 in right of use asset, and $79,566 in security deposits.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Non-current liabilities consisted of $2,550,930 in promissory note, $706,441 in right of use liability and $131,549 in interest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used $5,939,092 of cash in operating activities which represented our net loss from continuing operations of $62,399,163 including $31,891,974 in share-based compensation, $22,062,419 in settlement expense share based compensation, $1,500,000 in deferred revenue, $609,379 of change in operating right of use liability, $436,021 of accrued payroll and compensation, $224,461 in accounts payable and accrued expenses, $266,442 of paid in kind interest capitalized, $154,808 in interest payable, $117,710 of unrealized loss on convertible debt, $104,642 in depreciation expense, $88,704 in deferred offering cost, $65,750 in customer deposits, $50,930 in promissory note interest, $6,839 in sales tax payable offset by $720,787 of change in operating right of use asset, $214,325 in prepaid expenses, $121,404 in inventory, and $63,492 in security deposits.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$1,270,057 of cash for property and equipment, net in 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$5,945,891of cash from financing activities consisting of $3,500,000 in proceeds from warrant issuance, $1,000,000 in proceeds from related party notes, $795,891 in proceeds from crowdfunding and $650,000 in proceeds from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2025 the Company executed five notes with five investors for a combined $650,000.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Company entered into subscription agreement with two investors, providing for the issuance and sale of 405,162 Units, consisting of 810,324 shares of the Company’s Common Stock and 405,162 warrants to purchase up to 405,162 shares of Common Stock for a total subscription amount of $3,500,000.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negative working capital of $3,715,323 consisting of $1,352,892 in cash, $900,543 in inventory, $88,704 in deferred offering cost, $33,707 in prepaid expenses, offset by $3,542,797 in convertible debt at fair value, $1,678,466 in accrued payroll and compensation, $491,868 in accounts payable, $137,895 in customer deposits relating to down payments for pre orders, $174,254 in current operating lease liability and $65,889 in interest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$188,918 in right of use asset, $109,664 in property and equipment — net and $16,074 in security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$269,761 in right of use liability.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used $3,981,894 of cash in operating activities which represented our net loss from continuing operations of $9,392,702 including $4,515,182 in share-based compensation, $1,064,300 in accrued payroll and compensation, $471,689 in accounts payable and accrued expenses, $192,797 of unrealized loss on convertible debt, $100,000 in amortization of debt issuance costs, $71,750 in customer deposits, $65,889 in interest payable, $56,432 of change in operating right of use asset $48,279 in depreciation expense, offset by $900,543 in inventory, $152,556 of change of operating right of use liability, $88,704 in deferred offering cost and $33,707 in prepaid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flows from investing activities for the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$5,288,026 of cash from financing activities consisting of $3,250,000 in proceeds from convertible notes, net, $1,529,803 in proceeds from crowdfunding, $535,067 in proceeds from common stock issuances, offset by $26,844 in proceeds from related party notes.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All amounts in principal total $3,350,000 and $100,000 of debt issuance costs were expensed due to the election of the fair value option.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Future Outlook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funded operations and development activities through a combination of debt, equity issuances, and, to a lesser extent, crowdfunding initiatives. During the past year, we began focusing on both debt financing and equity-based capital resources. This transition reflects both our strategic objective of reducing leverage and the increasing availability of equity capital as investor appetite for robotics and artificial intelligence companies continues to expand.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this trend to continue in connection with our planned direct listing. The planned equity raise is reasonably likely to materially change the mix of our capital resources by decreasing reliance on debt facilities and enhancing our equity capitalization. We also anticipate that the relative cost of capital will improve, as equity financing is expected to provide greater flexibility and reduce interest expense obligations compared to prior debt arrangements.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may opportunistically evaluate additional credit facilities in the future, we do not currently anticipate significant off-balance-sheet financing arrangements or other alternative funding mechanisms that would materially alter our capital resource profile.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include annual base salaries, potential cash bonuses, and equity-based awards tied to geographic expansion and performance milestones. While the agreements contemplate potential annual cash bonuses of up to $3.2 million in the aggregate, such bonuses are contingent on the availability of legally distributable funds as defined under NRS 78.288, Board approval, and may be deferred or accrued until sufficient resources are available in compliance with Nevada law. Accordingly, we have not accrued any amounts for such bonuses to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payable in full, these cash bonuses could increase our annual compensation expense and impact our liquidity. However, because payment is conditional and may be deferred, the timing and extent of this impact cannot be predicted with certainty.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operating expenses to increase in future periods as we expand deployments of our autonomous Smart Stores, invest in further product development, and build out the organizational infrastructure required to support a scaled commercial business. In particular, we anticipate growth in payroll and compensation, research and development, and marketing expenses, partially offset by reduced reliance on share-based compensation compared to prior years. We may also incur increased legal and professional expenses in connection with our financing activities and as a result of our obligations as a public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equity award provisions in these agreements could result in the issuance of significant additional shares in the event that geographic expansion or performance milestones are achieved, which could result in dilution to existing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$89,634 in cash. We expect our operating cash requirements, capital expenditures, and contractual obligations including $716,329 in accounts payable and accrued expenses, $281,753 in lease payments, $89,148 in interest payable and $2,500,000 estimated in contractor and production payments will total $3,587,050 over the next 12 months. Based on our current cash position and forecasted operating cash outflows, we do not believe our existing capital resources are sufficient to fund these requirements. Accordingly, we are pursuing additional financing through equity and debt issuances to bridge the deficiency. Longer term, we anticipate ongoing funding needs to support growth and expansion. Our ability to continue as a going concern is dependent upon our ability to secure such additional financing.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are prepared in accordance with generally accepted accounting principles in the United States of America (GAAP) and comply with applicable requirements of Nevada Revised Statutes Chapter 78 governing Nevada corporations.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subsidiary. All significant intercompany transactions and balances between the Company and its subsidiary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operating lease right-of-use assets and liabilities and deferred revenue.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primarily include computers and furniture are stated at cost, less accumulated depreciation. Depreciation is computed on the straight-line method over 5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in accordance with the asset and liability method. Under this method, deferred tax 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step is to measure the tax benefit as the largest amount that is 50% likely of being realized upon settlement with a taxing authority. There were no amounts recorded at December 31, 2025 and 2024 related to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in accordance with the accounting guidance applicable to fair value measurements and disclosures.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accounts payable, deferred revenues, interest payable, loan payable, due to related parties, operating lease liabilities and accrued liabilities and other payables are deemed to be reasonable estimates of their fair values because of their short-term nature.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are expensed as incurred and include all material and labor costs in developing our alpha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on recent accounting pronouncements, see Note 2 to the consolidated financial statements included elsewhere in this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contingencies and legal proceedings expected to be incurred in connection with a loss contingency when it is probable that a liability has been incurred and the amount can be reasonably estimated.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VenHub has no off-balance sheet arrangements including arrangements that would affect the Company’s liquidity, capital resources, market risk support and credit risk support or other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Accounting Standards Election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Section 2(a)(19) of the Securities Act of 1933, as amended (the “Securities Act”). We have elected to use the extended transition period under Section 7(a)(2)(B) of the Securities Act for complying with any new or revised financial accounting standards. As a result, we will adopt new or revised accounting standards on the dates such standards become applicable to private companies (or EGCs that avail themselves of the extended transition period), which may result in our financial statements not being comparable to those of public companies that adopt such standards as of earlier public-company effective dates. We may decide at any time to irrevocably opt out of the extended transition period, after which we would be required to adopt new or revised standards as of the dates applicable to public companies that are not EGCs.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EGC until the earliest of: (i) the last day of the fiscal year following the fifth anniversary of the first sale of our common equity securities pursuant to an effective registration statement under the Securities Act; (ii) the date on which we become a “large accelerated filer” under Rule 12b-2 of the Exchange Act; (iii) the date on which we have issued more than $1 billion in non-convertible debt during the previous three years; and (iv) the last day of the fiscal year in which our total annual gross revenues meet or exceed the then-applicable SEC revenue threshold for EGCs.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notes thereto and the report of our independent registered public accounting firm, are set forth on pages F-1 through F-25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Chief Executive Officer and Chief Financial Officer evaluated the effectiveness of our disclosure controls and procedures, as defined in Rules 13a-15(e) and 15d-15(e) under the Securities Exchange Act of 1934, as amended (the “Exchange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evaluation and the identification of the material weaknesses in internal control over financial reporting described below, our Chief Executive Officer and Chief Financial Officer concluded that, as of December 31, 2025, our disclosure controls and procedures were not effective.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by, or under the supervision of, the Company’s principal executive officer and principal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in the United States (“U.S. GAAP”).</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Company’s internal control over financial reporting as of December 31, 2025 using the criteria established in the Internal Control—Integrated Framework (2013) issued by the Committee of Sponsoring Organizations of the Treadway Commission (“COSO”).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evaluation, management concluded that the Company’s internal control over financial reporting was not effective as of December 31, 2025, due to the material weaknesses described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identified the following material weaknesses:</w:t>
      </w:r>
    </w:p>
    <w:p>
      <w:pPr>
        <w:spacing w:after="0" w:line="21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segregation of duties. Due to the Company’s current size and limited accounting and finance personnel, certain key duties within the financial reporting process are not fully segregated. This creates a risk that errors or irregularities could occur and not be detected in a timely manner.</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formalized internal control processes and documentation. The Company has not yet fully implemented formal policies, procedures, and documentation relating to financial reporting controls, including monitoring activities and review controls designed to mitigate the risk of management override.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Mitigating and Compensating Controls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material weaknesses described above exist, management has implemented certain procedures to assist in mitigating the associated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procedures include:</w:t>
      </w:r>
    </w:p>
    <w:p>
      <w:pPr>
        <w:spacing w:after="0" w:line="193"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accounting consultant who assists management in the preparation and review of the Company’s quarterly and annual financial statements and in ensuring compliance with U.S. GAAP and SEC reporting requirements.</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external legal counsel to assist in the review and preparation of the Company’s periodic reports and other filings with the SEC to support compliance with applicable disclosure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these measures provide additional review and oversight, they do not eliminate the identified material weaknesses.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committed to improving the Company’s internal control over financial reporting. As additional working capital becomes available,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intends to take steps to remediate the material weaknesses described above, including:</w:t>
      </w:r>
    </w:p>
    <w:p>
      <w:pPr>
        <w:spacing w:after="0" w:line="19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and finance personnel to improve segregation of duties;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internal control documentation and implementing additional review and monitoring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additional training and resources to strengthen the Company’s financial reporting processes.</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remediation of these material weaknesses will take time, and management cannot provide assurance that these initiatives will fully remediate the material weaknesses in the near term.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Directors and Officers of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96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Shahan Ohanessian</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Hidalgo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Shoushana Ohanessian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Class II 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Nader Kabbani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Rubin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Chantal Wessels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from 2012 to 2019, served as Chief Executive Officer of ABT Holdings, Inc., a company engaged in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color w:val="auto"/>
        </w:rPr>
        <w:t>53, has over 10 years of experience in logistics and operations. From 2012 to 2019, Ms. Ohanessian served as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a major logistics delivery company, Scoobeez, Inc.,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in the Central District of California, which subsequently closed on August 26,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Hidalgo, </w:t>
      </w: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Matthew Hidalgo brings over 20 years of experience in accounting, operations, corporate finance, restructuring, SEC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acquisition integration. He has held various senior financial roles for both public and private companies, including serving as Chief Financial Officer for several portfolio companies. In these roles, Mr. Hidalgo has been responsible for overseeing financial operations, managing audits, ensuring regulatory compliance, and leading efforts to optimize financial performance and operational efficiency.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joining VenHub, Mr. Hidalgo held key positions at WPCS International Incorporated, where he served as Controller and Operations Manager for its largest subsidiary. In this capacity, he managed all financial reporting and operational functions, playing a critical role in driving subsidiary performance. Prior to this role, he oversaw accounting functions for several Australian subsidiaries, providing strategic financial oversight and ensuring compliance with international accounting standards.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Mr. Hidalgo began his career at PricewaterhouseCoopers LLP, where he worked as an accountant focusing on financial statement preparation and partnership allocations for hedge funds and private equity firms. His expertise in financial analysis and accounting was honed through years of experience managing complex financial reporting and SEC compliance for 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Hidalgo holds a Bachelor of Science degree in Accounting from Pennsylvania State University.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is a member of our Board of Directors. From 2012 to 2019, Mr. Ohanessian served as Chief Executive Officer of ABT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company engaged in strategic partnerships with 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i w:val="1"/>
          <w:iCs w:val="1"/>
          <w:color w:val="auto"/>
        </w:rPr>
        <w:t>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member of our Board of Directors and sits as our Chairwoman. Mrs. Ohanessian has over 10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and operations. From 2012 to 2019, Mrs. Ohanessian served as President of Operations for a major logistics delivery company, Scoobeez, Inc.,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in the Central District of California, which subsequently closed on August 26,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Rubin, 60, </w:t>
      </w:r>
      <w:r>
        <w:rPr>
          <w:rFonts w:ascii="Times New Roman" w:cs="Times New Roman" w:eastAsia="Times New Roman" w:hAnsi="Times New Roman"/>
          <w:sz w:val="18"/>
          <w:szCs w:val="18"/>
          <w:color w:val="auto"/>
        </w:rPr>
        <w:t>is a member of the Board of Directors. Mr. Rubin brings extensive leadership experience in the oil and gas retail industry, with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 years in the field. He is a seasoned executive with a proven track record in brand management, strategic planning, and marketing innovation. Throughout his career, Mr. Rubin has consistently demonstrated the ability to grow established businesses and launch new initiatives, all while driving operational excellence.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2014 to 2024, Mr. Rubin held several senior positions at Motiva Enterprises, including Director of Marketing &amp; Business Operations, Vice President of Management for Fuel Sales and Marketing, and Director of Special Projects. In these roles, he spearheaded strategic initiatives, fostered cross-functional team collaboration, and negotiated high-stakes partnerships. Known for his adaptability and strong business acumen, Mr. Rubin has consistently implemented industry best practices to improve performance metrics and drive growth.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Mr. Rubin earned an Executive MBA with a focus on general management from the University of California, Irvine, in 1991, and a Bachelor of Science degree in Marketing and Management from Northeastern University in 1987. His areas of expertise include brand and retail marketing strategy, consumer insights, business analytics, product innovation, concept development, leadership in cross-functional team settings, and strategic negotiations, including joint ventures.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Jeffrey Rubin is recognized for his ability to deliver innovative solutions and foster significant business advancements. He has consented to serve on the Board of Directors if elected and is committed to supporting the company’s strategic objectives to enhance stakeholder value.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Nader Kabbani, </w:t>
      </w:r>
      <w:r>
        <w:rPr>
          <w:rFonts w:ascii="Times New Roman" w:cs="Times New Roman" w:eastAsia="Times New Roman" w:hAnsi="Times New Roman"/>
          <w:sz w:val="18"/>
          <w:szCs w:val="18"/>
          <w:color w:val="auto"/>
        </w:rPr>
        <w:t>60, is a member the Board of Directors and chairs our Compensation Committee. Mr. Kabbani brings a wealth of experience in industrial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management consulting, and leading transformative initiatives in both startup and corporate settings. Over his distinguished career, he has demonstrated exceptional expertise in scaling businesses, launching new ventures, and navigating complex operational challenges.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Kabbani served at Amazon.com for 18 years, where he played a pivotal role in incubating, launching, and leading multi-billion-dollar businesses. His leadership extended across logistics, pharmacy services, self-publishing, Kindle devices, inventory planning, and supply chain management. Prior to his tenure at Amazon, he held senior roles in the airline and travel industry with companies such as American Airlines, Sabre Technologies, and McKinsey &amp; Company. Additionally, he has contributed as a Chief Operating Officer and Senior Vice President at innovative startups, including CALEB Technologies and Flexport, showcasing his ability to drive growth and operational excellence across various sectors.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Kabbani holds a Bachelor of Science degree in Electrical Engineering and a Master of Science degree in Industrial Engineering &amp; Operations Research, both from Texas A&amp;M University, awarded in 1986 and 1988, respectively. His technical background, coupled with his vast professional experience, positions him as an insightful leader capable of addressing complex challenges in a dynamic business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has consented to serve on the Board of Directors if elected and is committed to advancing the company’s objectives while creating value for its stakeholders.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Chantal Wessels</w:t>
      </w:r>
      <w:r>
        <w:rPr>
          <w:rFonts w:ascii="Times New Roman" w:cs="Times New Roman" w:eastAsia="Times New Roman" w:hAnsi="Times New Roman"/>
          <w:sz w:val="18"/>
          <w:szCs w:val="18"/>
          <w:color w:val="auto"/>
        </w:rPr>
        <w:t>, 45, is a member of our Board of Directors and serves as both our financial expert and chair our Audit Committee. Ms. Wessels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seasoned financial executive with over 20 years of global leadership experience, including CFO roles at Parameta Solutions and Apex Fintech Solutions, and senior finance leadership positions at NASDAQ. She brings deep financial expertise in IPO readiness, SEC reporting, strategic planning, capital allocation, and operational transformation. Chantal has led the development of investor-grade financial infrastructures, SOX-compliant controls, and scalable reporting systems to support high growth, regulated businesses. She is recognized for her ability to strengthen financial governance, enhance transparency, and align finance strategy with long-term business objective.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audit committee will be responsible for,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and quarterly financial statements with management and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is expected to consist of Jeffrey Rubin, Nader Kabbani and Chantal Wessels, who shall serve as chair. All members of our audit committee will meet the requirements for financial literacy under the applicable Nasdaq rules and regulations. The Company Board expects to affirmatively determine that each member of the audit committee qualifies as “independent” under Nasdaq’s additional standards applicable to audit committee members and Rule 10A-3 of the Exchange Act applicable audit committee members. In addition, the Company Board expects to determine that Chantal Wessels qualifies as an “audit committee financial expert,” as such term is defined in Item 407(d)(5)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compensation committee will be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Company Board regarding the compensation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Company Board regarding director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Company Board regarding our incentive compensation and equity-based plans and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compensation committee is expected to consist of Jeffrey Rubin, Chantal Wessels, and Nader Kabbani, who shall serve as chair. The Company Board has determined that each of these directors qualify as “independent” under Nasdaq’s additional standards applicable to compensation committee members and each member of the compensation committee is a “non-employee director” as defined in Section 16b-3 of the Exchange Act.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nominating and corporate governance committee will be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Company Board and ensure the Company Board has the requisite expertise and consists of persons with sufficiently diverse and independent backgrounds;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Company Board the persons to be nominated for election as directors and to each committee of the Company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Company Board corporate governance guidelines, and reviewing and recommending to the Company Board proposed changes to our corporate governance guidelines from time to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evaluations of the Company Board, its committees and management.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Chantal Wessels, Nader Kabbani and Jeffrey Rubin, who shall serve as chair. The Company Board has determined that the members of our nominating and corporate governance committee qualify as “independent” under Nasdaq rules applicable to nominating and corporate governance committee members.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nominations for election or re-election to the Company Board consistent with the requirements of Nevada Revised Statutes Section 78.115, considering a candidate’s qualifications, merits, and The Company’s needs after taking into account the current composition of the Company Board. At minimum, all candidates must meet the statutory requirements that directors be at least 18 years of age and have not been convicted of a felony involving fraud or similar misconduct. When evaluating candidates annually for nomination for election, the nominating and corporate governance committee will consider an individual’s skills, diversity, independence, experience in areas that address the needs of the Company Board and ability to devote adequate time to The Company Board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Company Board is being filled, candidates that appear to best fit the needs of the Company Board and The Company will be identified, interviewed and evaluated by the nominating and corporate governance committee. Candidates selected by the nominating and corporate governance committee will then be recommended to the full The Company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Board may from time to time establish other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anticipated member of the compensation committee was at any time during fiscal year 2024 or since,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of directors or member of our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and the Company’s President are married. The marital relationship between these two executive officers represents a related-party relationship under ASC 850-10-50-1.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Scoobeez, Inc., an entity majority controlled by Shahan Ohanessian, the Company’s CEO and Director, and Shoushana Ohanessian, the Company’s Chairwoman, filed for Chapter 11 bankruptcy in the Central District of California, case number 2:19-bk-14989-WB. The bankruptcy for Scoobeez, Inc. was closed on August 26, 2025. In 2020, Shahan Ohanessian filed for personal bankruptcy in the Central District of California, case number 2:20-bk-12167-WB. Mr. Ohanessian’s bankruptcy was closed on January 28,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exception of the above, to our knowledge, during the last ten years, none of our directors and executive officers has: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 code of ethics that applies to all of our executive officers, directors and employees, including our principal executive officer, principal financial officer, principal accounting officer or controller or persons performing similar functions. The code of ethics will be available on our website, (</w:t>
      </w:r>
      <w:r>
        <w:rPr>
          <w:rFonts w:ascii="Times New Roman" w:cs="Times New Roman" w:eastAsia="Times New Roman" w:hAnsi="Times New Roman"/>
          <w:sz w:val="18"/>
          <w:szCs w:val="18"/>
          <w:i w:val="1"/>
          <w:iCs w:val="1"/>
          <w:color w:val="auto"/>
        </w:rPr>
        <w:t>https://www.venhub.com/investors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make any legally required disclosures regarding amendments to, or waivers of, provisions of our code of ethics on our website rather than by filing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2025 all Section 16(a) filing requirements applicable to our officers, directors and greater than 10% beneficial owners were complied with.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Non-Qualified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21"/>
                <w:szCs w:val="21"/>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Shahan Ohanessian,</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$ 681,250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3,788,750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CEO Director</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$ 575,000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2,508,000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Shoushana Ohanessian,</w:t>
            </w:r>
          </w:p>
        </w:tc>
        <w:tc>
          <w:tcPr>
            <w:tcW w:w="6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$ 618,750</w:t>
            </w:r>
          </w:p>
        </w:tc>
        <w:tc>
          <w:tcPr>
            <w:tcW w:w="78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3,107,500</w:t>
            </w:r>
          </w:p>
        </w:tc>
        <w:tc>
          <w:tcPr>
            <w:tcW w:w="84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w w:val="99"/>
              </w:rPr>
              <w:t>3,726,250</w:t>
            </w:r>
          </w:p>
        </w:tc>
      </w:tr>
      <w:tr>
        <w:trPr>
          <w:trHeight w:val="238"/>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President Director</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$ 575,000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2,508,000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Matt Hidalgo,</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$ 135,000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847,000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982,000</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CFO</w:t>
            </w: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396,720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516,720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all executives perform their duties pursuant to their employment agreements.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Shahan Ohanessian, and our President, Shoushana Ohanessian which became effective in October of 2025.. The agreements provide for base salaries of $1,000,000 and $750,000, respectively, subject to annual increases. Each executive is entitled to guaranteed annual cash bonuses ($1,850,000 for Mr. Ohanessian and $1,387,500 for Ms. Ohanessian), annual equity grants of fully vested common stock (1,000,000 and 750,000 shares, respectively), as well as significant additional equity compensation tied to performance milestones, such as store openings and listing on a national securities exchange. These agreements also provide for generous severance and change-in-control protections, including lump sum payments of up to the remaining term of the agreement, accelerated equity vesting, COBRA payments, and post-termination advisory roles.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Matt Hidalgo has entered into an executive employment agreement to be effective upon effectiveness of the registration statement on October 23, 2025 with a base salary of $180,000 as Chief Financial Officer base salary with a bonus package to be determined by the Compensation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executive employment agreements with Shahan Ohanessian and Shoushana Ohanessian, provide for annual equity grants of 1,000,000 and 750,000 fully vested shares, respectively, as well as milestone-based equity awards for store openings, geographic expansion, and public listing events.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March 23, 2026, each person known by the Company to be the officer or director of the Company or a beneficial owner of five percent or more of the Company’s common stock. Except as noted, the holder thereof has sole voting and investment power with respect to the shares shown. Except as otherwise indicated, the address of each beneficial owner is c/o VenHub Global, Inc. 5360 Procyon Street, Las Vegas, Nevada 89118.</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7"/>
          <w:szCs w:val="17"/>
          <w:color w:val="auto"/>
        </w:rPr>
        <w:t>Shahan Ohanessian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32"/>
          <w:szCs w:val="32"/>
          <w:color w:val="auto"/>
          <w:vertAlign w:val="superscript"/>
        </w:rPr>
        <w:t>4)</w:t>
      </w:r>
    </w:p>
    <w:p>
      <w:pPr>
        <w:spacing w:after="0" w:line="180" w:lineRule="auto"/>
        <w:rPr>
          <w:sz w:val="20"/>
          <w:szCs w:val="20"/>
          <w:color w:val="auto"/>
        </w:rPr>
      </w:pPr>
      <w:r>
        <w:rPr>
          <w:rFonts w:ascii="Times New Roman" w:cs="Times New Roman" w:eastAsia="Times New Roman" w:hAnsi="Times New Roman"/>
          <w:sz w:val="17"/>
          <w:szCs w:val="17"/>
          <w:color w:val="auto"/>
        </w:rPr>
        <w:t>Shoushana Ohanessian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33"/>
          <w:szCs w:val="3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Matt Hidalgo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Nader Kabbani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Chantel Wessels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All directors and executive officers as a group (6 persons)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3"/>
        </w:trPr>
        <w:tc>
          <w:tcPr>
            <w:tcW w:w="1320" w:type="dxa"/>
            <w:vAlign w:val="bottom"/>
            <w:gridSpan w:val="2"/>
            <w:vMerge w:val="continue"/>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89"/>
        </w:trPr>
        <w:tc>
          <w:tcPr>
            <w:tcW w:w="1100" w:type="dxa"/>
            <w:vAlign w:val="bottom"/>
            <w:tcBorders>
              <w:bottom w:val="single" w:sz="8" w:color="auto"/>
            </w:tcBorders>
          </w:tcPr>
          <w:p>
            <w:pPr>
              <w:jc w:val="center"/>
              <w:spacing w:after="0" w:line="281" w:lineRule="exact"/>
              <w:rPr>
                <w:sz w:val="20"/>
                <w:szCs w:val="20"/>
                <w:color w:val="auto"/>
              </w:rPr>
            </w:pPr>
            <w:r>
              <w:rPr>
                <w:rFonts w:ascii="Times New Roman" w:cs="Times New Roman" w:eastAsia="Times New Roman" w:hAnsi="Times New Roman"/>
                <w:sz w:val="17"/>
                <w:szCs w:val="17"/>
                <w:b w:val="1"/>
                <w:bCs w:val="1"/>
                <w:color w:val="auto"/>
                <w:w w:val="96"/>
              </w:rPr>
              <w:t>Stock</w:t>
            </w:r>
            <w:r>
              <w:rPr>
                <w:rFonts w:ascii="Times New Roman" w:cs="Times New Roman" w:eastAsia="Times New Roman" w:hAnsi="Times New Roman"/>
                <w:sz w:val="27"/>
                <w:szCs w:val="27"/>
                <w:b w:val="1"/>
                <w:bCs w:val="1"/>
                <w:color w:val="auto"/>
                <w:w w:val="96"/>
                <w:vertAlign w:val="superscript"/>
              </w:rPr>
              <w:t>(</w:t>
            </w:r>
            <w:r>
              <w:rPr>
                <w:rFonts w:ascii="Times New Roman" w:cs="Times New Roman" w:eastAsia="Times New Roman" w:hAnsi="Times New Roman"/>
                <w:sz w:val="32"/>
                <w:szCs w:val="32"/>
                <w:b w:val="1"/>
                <w:bCs w:val="1"/>
                <w:color w:val="auto"/>
                <w:w w:val="96"/>
                <w:vertAlign w:val="superscript"/>
              </w:rPr>
              <w:t>2)</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0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81"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30,260,701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65"/>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30,617,514</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375,211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2"/>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8"/>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61,584,426</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87.40%</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6500" w:space="720"/>
            <w:col w:w="4020"/>
          </w:cols>
          <w:pgMar w:left="320" w:top="900" w:right="339" w:bottom="1440" w:gutter="0" w:footer="0" w:header="0"/>
          <w:type w:val="continuous"/>
        </w:sectPr>
      </w:pPr>
    </w:p>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promulgated under the Exchange Act,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is deemed to include the amount of shares beneficially owned by such person (and only such person) by reason of these acquisition rights.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issuable pursuant to executive employment agreements with Shahan Ohanessian and Shoushana Ohanessian, which provide for annual equity grants of 1,000,000 and 750,000 fully vested shares, respectively, as well as milestone-based equity awards for store openings, geographic expansion, and public listing events. The number of shares beneficially owned also includes any shares held by SSO, LLC, a company controlled by Mr. Ohanessian. Mr. and Mrs. Ohanessian have determined to defer payment of the bonus shares until September 30, 2026.</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represent the voting rights now and included 84,878,857 and 100,000 shares of Series C Preferred, which have voting rights equal to 1000:1. Mathew Hidalgo, Chantel Wessels, Jeffrey Rubin, and Nader Kabbani collectively hold 706,211 shares of common stock, which equals less than 1% of the total issued and outstanding common stock and less than a half a percent of total voting rights. Therefore, we have not presented voting rights before and after the offering, as the change is de minimis.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Shahan Ohanessian currently holds 293,186 shares of common stock. He also will receive an annual incentive of an additional 1,000,000 shares. In addition, Mr. Ohanessian owns SSO, LLC, along with his wife, Shoushana Ohanessian. SSO, LLC holds 57,935,029 shares of common stock and 100,000 shares of Series C Preferred Stock. For purposes of calculating percentage of ownership and voting rights attributed to Mr. Ohanessian, the table allocates 28,967,515 shares of common stock to Mr. Ohanessian and 50,000 shares of Series C Preferred. As a result, Mr. Ohanessian holds 30,260,701 shares of common and has voting rights equal to 80,260,701 votes.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Shoushana Ohanessian currently holds 900,000 shares of common stock. She also will receive an annual incentive of an additional 750,000 shares. In addition, Mrs. Ohanessian owns SSO, LLC, along with her husband, Shahan Ohanessian. SSO, LLC holds 57,935,029 shares of common stock and 100,000 shares of Series C Preferred Stock. For purposes of calculating percentage of ownership and voting rights attributed to Mrs. Ohanessian, the table allocates 28,967,514 shares of common stock to Mrs. Ohanessian and 50,000 shares of Series C Preferred. As a result, Mrs. Ohanessian holds 30,617,514 shares of common and has voting rights equal to 80,617,514 votes.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arrangements that could result in a change of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each respectively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with our executive officers and directors are described under “Executive Compensation” and are not included in this section.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On November 24, 2025, the CEO signed a promissory note with the Company for $250,000.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4, 2025, the CEO signed a promissory note with the Company for $250,000.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notes expire at the annual date from issuance and accrue interest at 7% per annum.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the Chief Executive Officer had $872,083, the President $721,383 and the Chief Financial Officer $85,000, respectively, in accrued compensation that they have voluntarily deferred until future periods. No payments were made for the three and six months ended June 30,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of 2025, we entered into executive employment agreements with Shahan Ohanessian, our Chief Executive Officer, and Shoushana Ohanessian, our President and Chairwoman of the Board which commenced upon effectiveness of our Registration Statement on October 23, 2025. Mr. and Ms. Ohanessian are spouses and, through SSO, LLC, together beneficially own a majority of our outstanding shares and voting power. The terms of the agreements provide for base salaries, guaranteed cash bonuses, and extensive equity-based compensation. In addition, the agreements contain severance, change-in-control, and advisory provisions that could result in substantial future payments and equity issuances to Mr. and Ms. Ohanessian. Given their control of the company, the agreements constitute related party transactions.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10, 2024, the Company signed a stock purchase agreement with a member of the Board of Advisors for 35,524 shares and for gross proceeds of $200,000.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15, 2024, the Company signed a stock purchase agreement with a member of the Board of Directors for 30,211 shares and for gross proceeds of $300,000.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Corporate Governance Guidelines and the Nasdaq rules, a director will not be independent unless the Board of Directors affirmatively determines that the director does not have a direct or indirect material relationship with the Company or any of its subsidiaries. In addition, the director must not be precluded from qualifying as independent under the per se bars set forth by the Nasdaq rules.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will undertake a review of its composition, the composition of its committees and the independence of directors and consider whether any director has a material relationship with The Company that could compromise their ability to exercise independent judgment in carrying out their responsibilities. Based upon information requested from and provided by each director concerning their background, employment and affiliations, including family relationships, the Company Board has determined that Jeffrey Rubin, Nader Kabbani, and Chantal Wessels, who comprise all of The Company’s non-employee directors, do not have a relationship that would interfere with the exercise of independent judgment in carrying out the responsibilities of a director and that each of these directors qualifies as “independent” as that term is defined under the Nasdaq rules. In making these determinations, the Company Board will consider the relationships that each non-employee director has with The Company and all other facts and circumstances the Company Board deemed relevant in determining their independence, including the director’s beneficial ownership of The Company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fees incurred for professional services since the inception of the Company rendered by the independent registered public accounting firm for the audit of the Company’s annual financial statements included in the Company’s Form 10-K and review of financial statements for its quarterly report (Form 10-QT) are reported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fees charged by Bush &amp; Associates CPA, LLC in 2025 and Rosenberg Rich Baker Berman, P.A. in 2024 for auditing services aggregated $21,000 and $70,000, respectively, which includes fees for the 2025 and 2024 audited financial statements and review of the quarterly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Filings</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620" w:type="dxa"/>
            <w:vAlign w:val="bottom"/>
            <w:tcBorders>
              <w:top w:val="single" w:sz="8" w:color="CCEEFF"/>
              <w:bottom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620" w:type="dxa"/>
            <w:vAlign w:val="bottom"/>
          </w:tcPr>
          <w:p>
            <w:pPr>
              <w:jc w:val="right"/>
              <w:ind w:right="417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7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3140" w:type="dxa"/>
            <w:vAlign w:val="bottom"/>
          </w:tcPr>
          <w:p>
            <w:pPr>
              <w:spacing w:after="0"/>
              <w:rPr>
                <w:sz w:val="20"/>
                <w:szCs w:val="20"/>
                <w:color w:val="auto"/>
              </w:rPr>
            </w:pPr>
          </w:p>
        </w:tc>
      </w:tr>
      <w:tr>
        <w:trPr>
          <w:trHeight w:val="432"/>
        </w:trPr>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3140" w:type="dxa"/>
            <w:vAlign w:val="bottom"/>
          </w:tcPr>
          <w:p>
            <w:pPr>
              <w:spacing w:after="0"/>
              <w:rPr>
                <w:sz w:val="24"/>
                <w:szCs w:val="24"/>
                <w:color w:val="auto"/>
              </w:rPr>
            </w:pPr>
          </w:p>
        </w:tc>
      </w:tr>
      <w:tr>
        <w:trPr>
          <w:trHeight w:val="4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68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314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16"/>
        </w:trPr>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Articles of Incorporation for Autonomous Solutions, Inc</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Bylaws of VenHub Global, Inc.</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Articles of Amendment for Autonomous Solutions, Inc.</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Conversion for VenHub Global, Inc. as filed with Delaware</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Certificate of Amendment for VenHub Global, Inc.</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Articles of Conversion for VenHub Global, Inc. as filed with Nevada</w:t>
            </w:r>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Audit Committee Charter</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Compensation Committee Charter</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Nominating and Corporate Governance Committee Charter</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67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Lease Agreement between Nettleton Trust and VenHub Global, Inc. for premises located in</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Pasadena, CA</w:t>
              </w:r>
            </w:hyperlink>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65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Lease Agreement between Nettleton Trust and VenHub Global, Inc. for premises located in</w:t>
              </w:r>
            </w:hyperlink>
          </w:p>
        </w:tc>
        <w:tc>
          <w:tcPr>
            <w:tcW w:w="260" w:type="dxa"/>
            <w:vAlign w:val="bottom"/>
            <w:tcBorders>
              <w:bottom w:val="single" w:sz="8" w:color="CCEEFF"/>
            </w:tcBorders>
            <w:gridSpan w:val="4"/>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Las Vegas, NV</w:t>
              </w:r>
            </w:hyperlink>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Employment Agreement of Chief Executive Officer</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Employment Agreement of President</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Employment Agreement of Chief Financial Officer</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VenHub Global, Inc. Code of Ethics</w:t>
              </w:r>
            </w:hyperlink>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S-1 Filed October 3, 2025</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67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w:t>
            </w:r>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Herein</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 Sarbanes-Oxley</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Herein</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67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w:t>
            </w:r>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Herein</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Herein</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7"/>
                <w:szCs w:val="17"/>
                <w:color w:val="auto"/>
              </w:rPr>
            </w:pPr>
          </w:p>
        </w:tc>
        <w:tc>
          <w:tcPr>
            <w:tcW w:w="68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Compensation Recovery Policy</w:t>
            </w:r>
          </w:p>
        </w:tc>
        <w:tc>
          <w:tcPr>
            <w:tcW w:w="3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Herein</w:t>
            </w: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1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68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83"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8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VenHub Global, Inc.</w:t>
            </w:r>
          </w:p>
        </w:tc>
      </w:tr>
      <w:tr>
        <w:trPr>
          <w:trHeight w:val="43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3/24/2026</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Shahan Ohanessian</w:t>
            </w:r>
          </w:p>
        </w:tc>
      </w:tr>
      <w:tr>
        <w:trPr>
          <w:trHeight w:val="198"/>
        </w:trPr>
        <w:tc>
          <w:tcPr>
            <w:tcW w:w="3960" w:type="dxa"/>
            <w:vAlign w:val="bottom"/>
          </w:tcPr>
          <w:p>
            <w:pPr>
              <w:spacing w:after="0"/>
              <w:rPr>
                <w:sz w:val="17"/>
                <w:szCs w:val="17"/>
                <w:color w:val="auto"/>
              </w:rPr>
            </w:pPr>
          </w:p>
        </w:tc>
        <w:tc>
          <w:tcPr>
            <w:tcW w:w="3360" w:type="dxa"/>
            <w:vAlign w:val="bottom"/>
          </w:tcPr>
          <w:p>
            <w:pPr>
              <w:ind w:left="28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Shahan Ohanessian</w:t>
            </w:r>
          </w:p>
        </w:tc>
      </w:tr>
      <w:tr>
        <w:trPr>
          <w:trHeight w:val="216"/>
        </w:trPr>
        <w:tc>
          <w:tcPr>
            <w:tcW w:w="3960" w:type="dxa"/>
            <w:vAlign w:val="bottom"/>
          </w:tcPr>
          <w:p>
            <w:pPr>
              <w:spacing w:after="0"/>
              <w:rPr>
                <w:sz w:val="18"/>
                <w:szCs w:val="18"/>
                <w:color w:val="auto"/>
              </w:rPr>
            </w:pP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3/24/2026</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Matt Hidalgo</w:t>
            </w:r>
          </w:p>
        </w:tc>
      </w:tr>
      <w:tr>
        <w:trPr>
          <w:trHeight w:val="198"/>
        </w:trPr>
        <w:tc>
          <w:tcPr>
            <w:tcW w:w="3960" w:type="dxa"/>
            <w:vAlign w:val="bottom"/>
          </w:tcPr>
          <w:p>
            <w:pPr>
              <w:spacing w:after="0"/>
              <w:rPr>
                <w:sz w:val="17"/>
                <w:szCs w:val="17"/>
                <w:color w:val="auto"/>
              </w:rPr>
            </w:pPr>
          </w:p>
        </w:tc>
        <w:tc>
          <w:tcPr>
            <w:tcW w:w="3360" w:type="dxa"/>
            <w:vAlign w:val="bottom"/>
          </w:tcPr>
          <w:p>
            <w:pPr>
              <w:ind w:left="28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 Hidalgo</w:t>
            </w:r>
          </w:p>
        </w:tc>
      </w:tr>
      <w:tr>
        <w:trPr>
          <w:trHeight w:val="216"/>
        </w:trPr>
        <w:tc>
          <w:tcPr>
            <w:tcW w:w="3960" w:type="dxa"/>
            <w:vAlign w:val="bottom"/>
          </w:tcPr>
          <w:p>
            <w:pPr>
              <w:spacing w:after="0"/>
              <w:rPr>
                <w:sz w:val="18"/>
                <w:szCs w:val="18"/>
                <w:color w:val="auto"/>
              </w:rPr>
            </w:pP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March 24, 2026 on behalf of the registrant and in the capacities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975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Shahan Ohanessian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Matt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Hidalgo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Shoushana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975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Shoushana Ohanessian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4886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36"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442" w:lineRule="exact"/>
        <w:rPr>
          <w:sz w:val="20"/>
          <w:szCs w:val="20"/>
          <w:color w:val="auto"/>
        </w:rPr>
      </w:pPr>
    </w:p>
    <w:p>
      <w:pPr>
        <w:sectPr>
          <w:pgSz w:w="11900" w:h="16838" w:orient="portrait"/>
          <w:cols w:equalWidth="0" w:num="2">
            <w:col w:w="5020" w:space="720"/>
            <w:col w:w="5500"/>
          </w:cols>
          <w:pgMar w:left="320" w:top="900" w:right="339" w:bottom="1440" w:gutter="0" w:footer="0" w:header="0"/>
          <w:type w:val="continuous"/>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060" w:type="dxa"/>
            <w:vAlign w:val="bottom"/>
            <w:gridSpan w:val="7"/>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VENHUB GLOBAL INC.</w:t>
            </w:r>
          </w:p>
        </w:tc>
        <w:tc>
          <w:tcPr>
            <w:tcW w:w="21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6060" w:type="dxa"/>
            <w:vAlign w:val="bottom"/>
            <w:gridSpan w:val="7"/>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1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6797</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89</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December 31, 2024</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years ended December 31, 2025, and December 31, 2024</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8"/>
              </w:rPr>
              <w:t>F-6 - F-7</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December 31, 2024</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16"/>
        </w:trPr>
        <w:tc>
          <w:tcPr>
            <w:tcW w:w="30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r>
      <w:tr>
        <w:trPr>
          <w:trHeight w:val="196"/>
        </w:trPr>
        <w:tc>
          <w:tcPr>
            <w:tcW w:w="9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40" w:type="dxa"/>
            <w:vAlign w:val="bottom"/>
            <w:shd w:val="clear" w:color="auto" w:fill="CCEEFF"/>
          </w:tcPr>
          <w:p>
            <w:pPr>
              <w:jc w:val="center"/>
              <w:ind w:left="930"/>
              <w:spacing w:after="0" w:line="176" w:lineRule="exact"/>
              <w:rPr>
                <w:sz w:val="20"/>
                <w:szCs w:val="20"/>
                <w:color w:val="auto"/>
              </w:rPr>
            </w:pPr>
            <w:r>
              <w:rPr>
                <w:rFonts w:ascii="Times New Roman" w:cs="Times New Roman" w:eastAsia="Times New Roman" w:hAnsi="Times New Roman"/>
                <w:sz w:val="18"/>
                <w:szCs w:val="18"/>
                <w:color w:val="auto"/>
                <w:w w:val="97"/>
              </w:rPr>
              <w:t>F-9 - F-25</w:t>
            </w:r>
          </w:p>
        </w:tc>
      </w:tr>
      <w:tr>
        <w:trPr>
          <w:trHeight w:val="655"/>
        </w:trPr>
        <w:tc>
          <w:tcPr>
            <w:tcW w:w="3040" w:type="dxa"/>
            <w:vAlign w:val="bottom"/>
            <w:tcBorders>
              <w:top w:val="single" w:sz="8" w:color="0000EE"/>
              <w:bottom w:val="single" w:sz="8" w:color="auto"/>
            </w:tcBorders>
          </w:tcPr>
          <w:p>
            <w:pPr>
              <w:spacing w:after="0"/>
              <w:rPr>
                <w:sz w:val="24"/>
                <w:szCs w:val="24"/>
                <w:color w:val="auto"/>
              </w:rPr>
            </w:pPr>
          </w:p>
        </w:tc>
        <w:tc>
          <w:tcPr>
            <w:tcW w:w="2340" w:type="dxa"/>
            <w:vAlign w:val="bottom"/>
            <w:tcBorders>
              <w:top w:val="single" w:sz="8" w:color="CCEEFF"/>
              <w:bottom w:val="single" w:sz="8" w:color="auto"/>
            </w:tcBorders>
          </w:tcPr>
          <w:p>
            <w:pPr>
              <w:spacing w:after="0"/>
              <w:rPr>
                <w:sz w:val="24"/>
                <w:szCs w:val="24"/>
                <w:color w:val="auto"/>
              </w:rPr>
            </w:pPr>
          </w:p>
        </w:tc>
        <w:tc>
          <w:tcPr>
            <w:tcW w:w="3720" w:type="dxa"/>
            <w:vAlign w:val="bottom"/>
            <w:tcBorders>
              <w:top w:val="single" w:sz="8" w:color="CCEEFF"/>
              <w:bottom w:val="single" w:sz="8" w:color="auto"/>
            </w:tcBorders>
            <w:gridSpan w:val="6"/>
          </w:tcPr>
          <w:p>
            <w:pPr>
              <w:jc w:val="center"/>
              <w:ind w:right="3240"/>
              <w:spacing w:after="0"/>
              <w:rPr>
                <w:sz w:val="20"/>
                <w:szCs w:val="20"/>
                <w:color w:val="auto"/>
              </w:rPr>
            </w:pPr>
            <w:r>
              <w:rPr>
                <w:rFonts w:ascii="Times New Roman" w:cs="Times New Roman" w:eastAsia="Times New Roman" w:hAnsi="Times New Roman"/>
                <w:sz w:val="18"/>
                <w:szCs w:val="18"/>
                <w:color w:val="auto"/>
                <w:w w:val="95"/>
              </w:rPr>
              <w:t>F-1</w:t>
            </w:r>
          </w:p>
        </w:tc>
        <w:tc>
          <w:tcPr>
            <w:tcW w:w="2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156845</wp:posOffset>
            </wp:positionV>
            <wp:extent cx="4277360" cy="6083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427736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Global,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VenHub Global, Inc. (the “Company”) as of December 31, 2025, and the related statements of operations and comprehensive loss, shareholders’ equity, and cash flows, for the period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of accounting, which contemplates continuity of operations, realization of assets and classification of liabilities and commitments in the normal course of business. The accompanying financial statements do not reflect any adjustments relating to the recoverability and classification of recorded asset amounts or the amounts and classifications of liabilities that might result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VenHub Global,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VenHub Global, Inc. (the “Company”) as of December 31, 2024, and the related consolidated statements of operations,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Company’s operating losses, working capital deficit and negative cash flows from operations raise substantial doubt about its ability to continue as a going concern.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Rosenberg Rich Baker Berman, P.A.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2023 to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Somerset, New Jersey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March 28, 2025, except for the effects of the restatement and revisions discussed in Note 2 to the consolidated financial statements to which the date is September 9,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(note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 -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offering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(note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0" w:lineRule="exact"/>
        <w:rPr>
          <w:sz w:val="20"/>
          <w:szCs w:val="20"/>
          <w:color w:val="auto"/>
        </w:rPr>
      </w:pPr>
    </w:p>
    <w:p>
      <w:pPr>
        <w:ind w:left="4760"/>
        <w:spacing w:after="0"/>
        <w:tabs>
          <w:tab w:leader="none" w:pos="608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512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5715</wp:posOffset>
            </wp:positionV>
            <wp:extent cx="156019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pacing w:after="0" w:line="247" w:lineRule="exact"/>
        <w:rPr>
          <w:sz w:val="20"/>
          <w:szCs w:val="20"/>
          <w:color w:val="auto"/>
        </w:rPr>
      </w:pPr>
    </w:p>
    <w:p>
      <w:pPr>
        <w:jc w:val="both"/>
        <w:ind w:left="4740"/>
        <w:spacing w:after="0"/>
        <w:tabs>
          <w:tab w:leader="none" w:pos="5360" w:val="left"/>
          <w:tab w:leader="none" w:pos="6060" w:val="left"/>
          <w:tab w:leader="none" w:pos="6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89,634</w:t>
        <w:tab/>
        <w:t>$</w:t>
      </w:r>
      <w:r>
        <w:rPr>
          <w:sz w:val="20"/>
          <w:szCs w:val="20"/>
          <w:color w:val="auto"/>
        </w:rPr>
        <w:tab/>
      </w:r>
      <w:r>
        <w:rPr>
          <w:rFonts w:ascii="Times New Roman" w:cs="Times New Roman" w:eastAsia="Times New Roman" w:hAnsi="Times New Roman"/>
          <w:sz w:val="18"/>
          <w:szCs w:val="18"/>
          <w:color w:val="auto"/>
        </w:rPr>
        <w:t>1,352,892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-119380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5140"/>
        <w:spacing w:after="0"/>
        <w:tabs>
          <w:tab w:leader="none" w:pos="6580" w:val="left"/>
        </w:tabs>
        <w:rPr>
          <w:sz w:val="20"/>
          <w:szCs w:val="20"/>
          <w:color w:val="auto"/>
        </w:rPr>
      </w:pPr>
      <w:r>
        <w:rPr>
          <w:rFonts w:ascii="Times New Roman" w:cs="Times New Roman" w:eastAsia="Times New Roman" w:hAnsi="Times New Roman"/>
          <w:sz w:val="18"/>
          <w:szCs w:val="18"/>
          <w:color w:val="auto"/>
        </w:rPr>
        <w:t>1,021,947</w:t>
      </w:r>
      <w:r>
        <w:rPr>
          <w:sz w:val="20"/>
          <w:szCs w:val="20"/>
          <w:color w:val="auto"/>
        </w:rPr>
        <w:tab/>
      </w:r>
      <w:r>
        <w:rPr>
          <w:rFonts w:ascii="Times New Roman" w:cs="Times New Roman" w:eastAsia="Times New Roman" w:hAnsi="Times New Roman"/>
          <w:sz w:val="18"/>
          <w:szCs w:val="18"/>
          <w:color w:val="auto"/>
        </w:rPr>
        <w:t>900,543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5715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5460"/>
        <w:spacing w:after="0"/>
        <w:tabs>
          <w:tab w:leader="none" w:pos="7120" w:val="left"/>
        </w:tabs>
        <w:rPr>
          <w:sz w:val="20"/>
          <w:szCs w:val="20"/>
          <w:color w:val="auto"/>
        </w:rPr>
      </w:pPr>
      <w:r>
        <w:rPr>
          <w:rFonts w:ascii="Times New Roman" w:cs="Times New Roman" w:eastAsia="Times New Roman" w:hAnsi="Times New Roman"/>
          <w:sz w:val="18"/>
          <w:szCs w:val="18"/>
          <w:color w:val="auto"/>
        </w:rPr>
        <w:t>2,000</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5800"/>
        <w:spacing w:after="0"/>
        <w:tabs>
          <w:tab w:leader="none" w:pos="6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88,704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5715</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jc w:val="both"/>
        <w:ind w:left="5280"/>
        <w:spacing w:after="0"/>
        <w:tabs>
          <w:tab w:leader="none" w:pos="6680" w:val="left"/>
        </w:tabs>
        <w:rPr>
          <w:sz w:val="20"/>
          <w:szCs w:val="20"/>
          <w:color w:val="auto"/>
        </w:rPr>
      </w:pPr>
      <w:r>
        <w:rPr>
          <w:rFonts w:ascii="Times New Roman" w:cs="Times New Roman" w:eastAsia="Times New Roman" w:hAnsi="Times New Roman"/>
          <w:sz w:val="18"/>
          <w:szCs w:val="18"/>
          <w:color w:val="auto"/>
        </w:rPr>
        <w:t>248,032</w:t>
      </w:r>
      <w:r>
        <w:rPr>
          <w:sz w:val="20"/>
          <w:szCs w:val="20"/>
          <w:color w:val="auto"/>
        </w:rPr>
        <w:tab/>
      </w:r>
      <w:r>
        <w:rPr>
          <w:rFonts w:ascii="Times New Roman" w:cs="Times New Roman" w:eastAsia="Times New Roman" w:hAnsi="Times New Roman"/>
          <w:sz w:val="18"/>
          <w:szCs w:val="18"/>
          <w:color w:val="auto"/>
        </w:rPr>
        <w:t>33,707</w:t>
      </w:r>
    </w:p>
    <w:p>
      <w:pPr>
        <w:spacing w:after="0" w:line="31" w:lineRule="exact"/>
        <w:rPr>
          <w:sz w:val="20"/>
          <w:szCs w:val="20"/>
          <w:color w:val="auto"/>
        </w:rPr>
      </w:pPr>
    </w:p>
    <w:p>
      <w:pPr>
        <w:jc w:val="both"/>
        <w:ind w:left="5140"/>
        <w:spacing w:after="0"/>
        <w:tabs>
          <w:tab w:leader="none" w:pos="6460" w:val="left"/>
        </w:tabs>
        <w:rPr>
          <w:sz w:val="20"/>
          <w:szCs w:val="20"/>
          <w:color w:val="auto"/>
        </w:rPr>
      </w:pPr>
      <w:r>
        <w:rPr>
          <w:rFonts w:ascii="Times New Roman" w:cs="Times New Roman" w:eastAsia="Times New Roman" w:hAnsi="Times New Roman"/>
          <w:sz w:val="18"/>
          <w:szCs w:val="18"/>
          <w:color w:val="auto"/>
        </w:rPr>
        <w:t>1,361,613</w:t>
      </w:r>
      <w:r>
        <w:rPr>
          <w:sz w:val="20"/>
          <w:szCs w:val="20"/>
          <w:color w:val="auto"/>
        </w:rPr>
        <w:tab/>
      </w:r>
      <w:r>
        <w:rPr>
          <w:rFonts w:ascii="Times New Roman" w:cs="Times New Roman" w:eastAsia="Times New Roman" w:hAnsi="Times New Roman"/>
          <w:sz w:val="18"/>
          <w:szCs w:val="18"/>
          <w:color w:val="auto"/>
        </w:rPr>
        <w:t>2,375,846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5380"/>
        <w:spacing w:after="0"/>
        <w:tabs>
          <w:tab w:leader="none" w:pos="6680" w:val="left"/>
        </w:tabs>
        <w:rPr>
          <w:sz w:val="20"/>
          <w:szCs w:val="20"/>
          <w:color w:val="auto"/>
        </w:rPr>
      </w:pPr>
      <w:r>
        <w:rPr>
          <w:rFonts w:ascii="Times New Roman" w:cs="Times New Roman" w:eastAsia="Times New Roman" w:hAnsi="Times New Roman"/>
          <w:sz w:val="18"/>
          <w:szCs w:val="18"/>
          <w:color w:val="auto"/>
        </w:rPr>
        <w:t>79,566</w:t>
      </w:r>
      <w:r>
        <w:rPr>
          <w:sz w:val="20"/>
          <w:szCs w:val="20"/>
          <w:color w:val="auto"/>
        </w:rPr>
        <w:tab/>
      </w:r>
      <w:r>
        <w:rPr>
          <w:rFonts w:ascii="Times New Roman" w:cs="Times New Roman" w:eastAsia="Times New Roman" w:hAnsi="Times New Roman"/>
          <w:sz w:val="18"/>
          <w:szCs w:val="18"/>
          <w:color w:val="auto"/>
        </w:rPr>
        <w:t>16,074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-119380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5140"/>
        <w:spacing w:after="0"/>
        <w:tabs>
          <w:tab w:leader="none" w:pos="6580" w:val="left"/>
        </w:tabs>
        <w:rPr>
          <w:sz w:val="20"/>
          <w:szCs w:val="20"/>
          <w:color w:val="auto"/>
        </w:rPr>
      </w:pPr>
      <w:r>
        <w:rPr>
          <w:rFonts w:ascii="Times New Roman" w:cs="Times New Roman" w:eastAsia="Times New Roman" w:hAnsi="Times New Roman"/>
          <w:sz w:val="18"/>
          <w:szCs w:val="18"/>
          <w:color w:val="auto"/>
        </w:rPr>
        <w:t>1,275,078</w:t>
      </w:r>
      <w:r>
        <w:rPr>
          <w:sz w:val="20"/>
          <w:szCs w:val="20"/>
          <w:color w:val="auto"/>
        </w:rPr>
        <w:tab/>
      </w:r>
      <w:r>
        <w:rPr>
          <w:rFonts w:ascii="Times New Roman" w:cs="Times New Roman" w:eastAsia="Times New Roman" w:hAnsi="Times New Roman"/>
          <w:sz w:val="18"/>
          <w:szCs w:val="18"/>
          <w:color w:val="auto"/>
        </w:rPr>
        <w:t>109,664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5715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jc w:val="both"/>
        <w:ind w:left="5280"/>
        <w:spacing w:after="0"/>
        <w:tabs>
          <w:tab w:leader="none" w:pos="6580" w:val="left"/>
        </w:tabs>
        <w:rPr>
          <w:sz w:val="20"/>
          <w:szCs w:val="20"/>
          <w:color w:val="auto"/>
        </w:rPr>
      </w:pPr>
      <w:r>
        <w:rPr>
          <w:rFonts w:ascii="Times New Roman" w:cs="Times New Roman" w:eastAsia="Times New Roman" w:hAnsi="Times New Roman"/>
          <w:sz w:val="18"/>
          <w:szCs w:val="18"/>
          <w:color w:val="auto"/>
        </w:rPr>
        <w:t>907,705</w:t>
      </w:r>
      <w:r>
        <w:rPr>
          <w:sz w:val="20"/>
          <w:szCs w:val="20"/>
          <w:color w:val="auto"/>
        </w:rPr>
        <w:tab/>
      </w:r>
      <w:r>
        <w:rPr>
          <w:rFonts w:ascii="Times New Roman" w:cs="Times New Roman" w:eastAsia="Times New Roman" w:hAnsi="Times New Roman"/>
          <w:sz w:val="18"/>
          <w:szCs w:val="18"/>
          <w:color w:val="auto"/>
        </w:rPr>
        <w:t>188,918</w:t>
      </w:r>
    </w:p>
    <w:p>
      <w:pPr>
        <w:spacing w:after="0" w:line="31" w:lineRule="exact"/>
        <w:rPr>
          <w:sz w:val="20"/>
          <w:szCs w:val="20"/>
          <w:color w:val="auto"/>
        </w:rPr>
      </w:pPr>
    </w:p>
    <w:p>
      <w:pPr>
        <w:jc w:val="both"/>
        <w:ind w:left="5140"/>
        <w:spacing w:after="0"/>
        <w:tabs>
          <w:tab w:leader="none" w:pos="6580" w:val="left"/>
        </w:tabs>
        <w:rPr>
          <w:sz w:val="20"/>
          <w:szCs w:val="20"/>
          <w:color w:val="auto"/>
        </w:rPr>
      </w:pPr>
      <w:r>
        <w:rPr>
          <w:rFonts w:ascii="Times New Roman" w:cs="Times New Roman" w:eastAsia="Times New Roman" w:hAnsi="Times New Roman"/>
          <w:sz w:val="18"/>
          <w:szCs w:val="18"/>
          <w:color w:val="auto"/>
        </w:rPr>
        <w:t>2,262,349</w:t>
      </w:r>
      <w:r>
        <w:rPr>
          <w:sz w:val="20"/>
          <w:szCs w:val="20"/>
          <w:color w:val="auto"/>
        </w:rPr>
        <w:tab/>
      </w:r>
      <w:r>
        <w:rPr>
          <w:rFonts w:ascii="Times New Roman" w:cs="Times New Roman" w:eastAsia="Times New Roman" w:hAnsi="Times New Roman"/>
          <w:sz w:val="18"/>
          <w:szCs w:val="18"/>
          <w:color w:val="auto"/>
        </w:rPr>
        <w:t>314,656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jc w:val="both"/>
        <w:ind w:left="4740"/>
        <w:spacing w:after="0"/>
        <w:tabs>
          <w:tab w:leader="none" w:pos="5120" w:val="left"/>
          <w:tab w:leader="none" w:pos="6060" w:val="left"/>
          <w:tab w:leader="none" w:pos="6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3,623,962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2,690,502</w:t>
      </w:r>
    </w:p>
    <w:p>
      <w:pPr>
        <w:spacing w:after="0" w:line="27" w:lineRule="exact"/>
        <w:rPr>
          <w:sz w:val="20"/>
          <w:szCs w:val="20"/>
          <w:color w:val="auto"/>
        </w:rPr>
      </w:pPr>
    </w:p>
    <w:p>
      <w:pPr>
        <w:sectPr>
          <w:pgSz w:w="11900" w:h="16838" w:orient="portrait"/>
          <w:cols w:equalWidth="0" w:num="2">
            <w:col w:w="3220" w:space="720"/>
            <w:col w:w="7300"/>
          </w:cols>
          <w:pgMar w:left="320" w:top="360" w:right="339" w:bottom="1440" w:gutter="0" w:footer="0" w:header="0"/>
        </w:sectPr>
      </w:pPr>
    </w:p>
    <w:tbl>
      <w:tblPr>
        <w:tblLayout w:type="fixed"/>
        <w:tblInd w:w="0" w:type="dxa"/>
        <w:tblCellMar>
          <w:top w:w="0" w:type="dxa"/>
          <w:left w:w="0" w:type="dxa"/>
          <w:bottom w:w="0" w:type="dxa"/>
          <w:right w:w="0" w:type="dxa"/>
        </w:tblCellMar>
      </w:tblPr>
      <w:tr>
        <w:trPr>
          <w:trHeight w:val="263"/>
        </w:trPr>
        <w:tc>
          <w:tcPr>
            <w:tcW w:w="2300" w:type="dxa"/>
            <w:vAlign w:val="bottom"/>
            <w:tcBorders>
              <w:top w:val="single" w:sz="8" w:color="CCEEFF"/>
            </w:tcBorders>
            <w:shd w:val="clear" w:color="auto" w:fill="CCEEFF"/>
          </w:tcPr>
          <w:p>
            <w:pPr>
              <w:spacing w:after="0"/>
              <w:rPr>
                <w:sz w:val="22"/>
                <w:szCs w:val="22"/>
                <w:color w:val="auto"/>
              </w:rPr>
            </w:pPr>
          </w:p>
        </w:tc>
        <w:tc>
          <w:tcPr>
            <w:tcW w:w="3960" w:type="dxa"/>
            <w:vAlign w:val="bottom"/>
            <w:tcBorders>
              <w:top w:val="single" w:sz="8" w:color="CCEEFF"/>
            </w:tcBorders>
            <w:shd w:val="clear" w:color="auto" w:fill="CCEEFF"/>
          </w:tcPr>
          <w:p>
            <w:pPr>
              <w:spacing w:after="0"/>
              <w:rPr>
                <w:sz w:val="22"/>
                <w:szCs w:val="22"/>
                <w:color w:val="auto"/>
              </w:rPr>
            </w:pPr>
          </w:p>
        </w:tc>
        <w:tc>
          <w:tcPr>
            <w:tcW w:w="24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175"/>
        </w:trPr>
        <w:tc>
          <w:tcPr>
            <w:tcW w:w="2300" w:type="dxa"/>
            <w:vAlign w:val="bottom"/>
          </w:tcPr>
          <w:p>
            <w:pPr>
              <w:spacing w:after="0"/>
              <w:rPr>
                <w:sz w:val="15"/>
                <w:szCs w:val="15"/>
                <w:color w:val="auto"/>
              </w:rPr>
            </w:pPr>
          </w:p>
        </w:tc>
        <w:tc>
          <w:tcPr>
            <w:tcW w:w="6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300" w:type="dxa"/>
            <w:vAlign w:val="bottom"/>
          </w:tcPr>
          <w:p>
            <w:pPr>
              <w:spacing w:after="0" w:line="20" w:lineRule="exact"/>
              <w:rPr>
                <w:sz w:val="1"/>
                <w:szCs w:val="1"/>
                <w:color w:val="auto"/>
              </w:rPr>
            </w:pPr>
          </w:p>
        </w:tc>
        <w:tc>
          <w:tcPr>
            <w:tcW w:w="39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716,329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491,868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 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89,148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65,889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6,839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203,645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137,895</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346,953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174,254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 related party (note 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(note 2)</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compensation (note 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2,114,487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1,678,466</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debt at fair value (note 9)</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4,576,949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3,542,797</w:t>
            </w:r>
          </w:p>
        </w:tc>
      </w:tr>
      <w:tr>
        <w:trPr>
          <w:trHeight w:val="216"/>
        </w:trPr>
        <w:tc>
          <w:tcPr>
            <w:tcW w:w="8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131,549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706,441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269,761</w:t>
            </w: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Promissory note (note 3)</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2,550,930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3,388,920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13,943,270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6,360,930</w:t>
            </w:r>
          </w:p>
        </w:tc>
      </w:tr>
      <w:tr>
        <w:trPr>
          <w:trHeight w:val="216"/>
        </w:trPr>
        <w:tc>
          <w:tcPr>
            <w:tcW w:w="230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 and 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A - $0.001 par value; 100,000 shares authorized; 0 shares issued and outstanding as of December 31,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2025 and 100,000 as of December 31, 2024</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8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B- $0.001 par value; 20,000,000 shares authorized; 3,943 shares issued and outstanding as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593,742 as of December 31, 2024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594</w:t>
            </w:r>
          </w:p>
        </w:tc>
      </w:tr>
      <w:tr>
        <w:trPr>
          <w:trHeight w:val="198"/>
        </w:trPr>
        <w:tc>
          <w:tcPr>
            <w:tcW w:w="86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C - $0.001 par value; 100,000 shares authorized; 100,000 shares issued and outstanding as of</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 2025 and 0 as of December 31, 2024</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$0.001 par value; 100,000,000 shares authorized; 75,024,356 shares issued and outstanding as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26,500,959 as of December 31, 2024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75,024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26,501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71,774,075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16,071,724</w:t>
            </w:r>
          </w:p>
        </w:tc>
      </w:tr>
      <w:tr>
        <w:trPr>
          <w:trHeight w:val="24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(82,168,510)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(19,769,347)</w:t>
            </w:r>
          </w:p>
        </w:tc>
      </w:tr>
      <w:tr>
        <w:trPr>
          <w:trHeight w:val="210"/>
        </w:trPr>
        <w:tc>
          <w:tcPr>
            <w:tcW w:w="86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(10,319,308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(3,670,428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3,623,962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2,690,502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Years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1240"/>
          </w:cols>
          <w:pgMar w:left="320" w:top="900"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Store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sales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Product costs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 of convertible debt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427"/>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41"/>
        </w:trPr>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114,450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864,450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643"/>
        </w:trPr>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513,778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41"/>
        </w:trPr>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69,982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583,760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432"/>
        </w:trPr>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280,690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630"/>
        </w:trPr>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37,061,557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6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60" w:type="dxa"/>
            <w:vAlign w:val="bottom"/>
          </w:tcPr>
          <w:p>
            <w:pPr>
              <w:spacing w:after="0"/>
              <w:rPr>
                <w:sz w:val="19"/>
                <w:szCs w:val="19"/>
                <w:color w:val="auto"/>
              </w:rPr>
            </w:pPr>
          </w:p>
        </w:tc>
      </w:tr>
      <w:tr>
        <w:trPr>
          <w:trHeight w:val="241"/>
        </w:trPr>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875,975</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39,711,655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9,034,016</w:t>
            </w:r>
          </w:p>
        </w:tc>
        <w:tc>
          <w:tcPr>
            <w:tcW w:w="60" w:type="dxa"/>
            <w:vAlign w:val="bottom"/>
          </w:tcPr>
          <w:p>
            <w:pPr>
              <w:spacing w:after="0"/>
              <w:rPr>
                <w:sz w:val="19"/>
                <w:szCs w:val="19"/>
                <w:color w:val="auto"/>
              </w:rPr>
            </w:pPr>
          </w:p>
        </w:tc>
      </w:tr>
      <w:tr>
        <w:trPr>
          <w:trHeight w:val="432"/>
        </w:trPr>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(39,430,965)</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(9,034,016)</w:t>
            </w:r>
          </w:p>
        </w:tc>
      </w:tr>
      <w:tr>
        <w:trPr>
          <w:trHeight w:val="630"/>
        </w:trPr>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22,287,419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563,069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165,889</w:t>
            </w:r>
          </w:p>
        </w:tc>
        <w:tc>
          <w:tcPr>
            <w:tcW w:w="60" w:type="dxa"/>
            <w:vAlign w:val="bottom"/>
          </w:tcPr>
          <w:p>
            <w:pPr>
              <w:spacing w:after="0"/>
              <w:rPr>
                <w:sz w:val="19"/>
                <w:szCs w:val="19"/>
                <w:color w:val="auto"/>
              </w:rPr>
            </w:pPr>
          </w:p>
        </w:tc>
      </w:tr>
      <w:tr>
        <w:trPr>
          <w:trHeight w:val="241"/>
        </w:trPr>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192,797</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22,968,198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358,686</w:t>
            </w:r>
          </w:p>
        </w:tc>
        <w:tc>
          <w:tcPr>
            <w:tcW w:w="60" w:type="dxa"/>
            <w:vAlign w:val="bottom"/>
          </w:tcPr>
          <w:p>
            <w:pPr>
              <w:spacing w:after="0"/>
              <w:rPr>
                <w:sz w:val="19"/>
                <w:szCs w:val="19"/>
                <w:color w:val="auto"/>
              </w:rPr>
            </w:pPr>
          </w:p>
        </w:tc>
      </w:tr>
      <w:tr>
        <w:trPr>
          <w:trHeight w:val="445"/>
        </w:trPr>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7"/>
        </w:trPr>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(62,399,163</w:t>
            </w:r>
            <w:r>
              <w:rPr>
                <w:rFonts w:ascii="Times New Roman" w:cs="Times New Roman" w:eastAsia="Times New Roman" w:hAnsi="Times New Roman"/>
                <w:sz w:val="35"/>
                <w:szCs w:val="35"/>
                <w:color w:val="auto"/>
                <w:vertAlign w:val="superscript"/>
              </w:rPr>
              <w:t>)</w:t>
            </w:r>
          </w:p>
        </w:tc>
        <w:tc>
          <w:tcPr>
            <w:tcW w:w="2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(9,392,702</w:t>
            </w:r>
            <w:r>
              <w:rPr>
                <w:rFonts w:ascii="Times New Roman" w:cs="Times New Roman" w:eastAsia="Times New Roman" w:hAnsi="Times New Roman"/>
                <w:sz w:val="35"/>
                <w:szCs w:val="35"/>
                <w:color w:val="auto"/>
                <w:vertAlign w:val="superscript"/>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6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7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37,344,429</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26,017,018</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20" w:type="dxa"/>
            <w:vAlign w:val="bottom"/>
          </w:tcPr>
          <w:p>
            <w:pPr>
              <w:spacing w:after="0"/>
              <w:rPr>
                <w:sz w:val="19"/>
                <w:szCs w:val="19"/>
                <w:color w:val="auto"/>
              </w:rPr>
            </w:pPr>
          </w:p>
        </w:tc>
        <w:tc>
          <w:tcPr>
            <w:tcW w:w="16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9"/>
                <w:szCs w:val="19"/>
                <w:color w:val="auto"/>
              </w:rPr>
            </w:pPr>
          </w:p>
        </w:tc>
        <w:tc>
          <w:tcPr>
            <w:tcW w:w="16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Preferred Stock A</w:t>
            </w:r>
          </w:p>
        </w:tc>
        <w:tc>
          <w:tcPr>
            <w:tcW w:w="20" w:type="dxa"/>
            <w:vAlign w:val="bottom"/>
          </w:tcPr>
          <w:p>
            <w:pPr>
              <w:spacing w:after="0"/>
              <w:rPr>
                <w:sz w:val="19"/>
                <w:szCs w:val="19"/>
                <w:color w:val="auto"/>
              </w:rPr>
            </w:pPr>
          </w:p>
        </w:tc>
        <w:tc>
          <w:tcPr>
            <w:tcW w:w="16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Preferred Stock B</w:t>
            </w: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Preferred Stock C</w:t>
            </w:r>
          </w:p>
        </w:tc>
        <w:tc>
          <w:tcPr>
            <w:tcW w:w="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9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162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73"/>
        </w:trPr>
        <w:tc>
          <w:tcPr>
            <w:tcW w:w="16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Beginning, January 1,</w:t>
            </w: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26,500,959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26,501</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593,742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$16,071,724</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(19,769,347)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5,644,597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31,885,659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31,891,303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 settlement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3,462,375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19,558,957</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 warrants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810,324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3,499,189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Series A</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37,935,029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37,935</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(37,935)</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series B</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671,072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(671,072)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preferred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B,</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crowdfunding</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81,273</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795,810</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Issuances of series C</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(62,399,163)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(62,399,163)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December 31,</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75,024,356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75,024</w:t>
            </w:r>
          </w:p>
        </w:tc>
        <w:tc>
          <w:tcPr>
            <w:tcW w:w="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71,774,075</w:t>
            </w:r>
          </w:p>
        </w:tc>
        <w:tc>
          <w:tcPr>
            <w:tcW w:w="80" w:type="dxa"/>
            <w:vAlign w:val="bottom"/>
            <w:shd w:val="clear" w:color="auto" w:fill="CCEEFF"/>
          </w:tcPr>
          <w:p>
            <w:pPr>
              <w:spacing w:after="0"/>
              <w:rPr>
                <w:sz w:val="23"/>
                <w:szCs w:val="23"/>
                <w:color w:val="auto"/>
              </w:rPr>
            </w:pP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(82,168,510) $</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(10,319,308)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20" w:type="dxa"/>
            <w:vAlign w:val="bottom"/>
          </w:tcPr>
          <w:p>
            <w:pPr>
              <w:spacing w:after="0"/>
              <w:rPr>
                <w:sz w:val="19"/>
                <w:szCs w:val="19"/>
                <w:color w:val="auto"/>
              </w:rPr>
            </w:pPr>
          </w:p>
        </w:tc>
        <w:tc>
          <w:tcPr>
            <w:tcW w:w="168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Preferred Stock A</w:t>
            </w:r>
          </w:p>
        </w:tc>
        <w:tc>
          <w:tcPr>
            <w:tcW w:w="60" w:type="dxa"/>
            <w:vAlign w:val="bottom"/>
          </w:tcPr>
          <w:p>
            <w:pPr>
              <w:spacing w:after="0"/>
              <w:rPr>
                <w:sz w:val="19"/>
                <w:szCs w:val="19"/>
                <w:color w:val="auto"/>
              </w:rPr>
            </w:pPr>
          </w:p>
        </w:tc>
        <w:tc>
          <w:tcPr>
            <w:tcW w:w="16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Preferred Stock B</w:t>
            </w: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Preferred Stock C</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84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1620" w:type="dxa"/>
            <w:vAlign w:val="bottom"/>
          </w:tcPr>
          <w:p>
            <w:pPr>
              <w:spacing w:after="0"/>
              <w:rPr>
                <w:sz w:val="19"/>
                <w:szCs w:val="19"/>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0" w:type="dxa"/>
            <w:vAlign w:val="bottom"/>
          </w:tcPr>
          <w:p>
            <w:pPr>
              <w:spacing w:after="0"/>
              <w:rPr>
                <w:sz w:val="19"/>
                <w:szCs w:val="19"/>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73"/>
        </w:trPr>
        <w:tc>
          <w:tcPr>
            <w:tcW w:w="16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Beginning, January 1,</w:t>
            </w: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24,454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317,677</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9,492,015</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(10,376,645)</w:t>
            </w: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1,981,224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4,515,182</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agreement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preferred</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B,</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crowdfunding</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276,065</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1,529,527</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(9,392,702)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(9,392,702)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December 31,</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26,500,959</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26,501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593,742</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16,071,724</w:t>
            </w:r>
          </w:p>
        </w:tc>
        <w:tc>
          <w:tcPr>
            <w:tcW w:w="40" w:type="dxa"/>
            <w:vAlign w:val="bottom"/>
            <w:shd w:val="clear" w:color="auto" w:fill="CCEEFF"/>
          </w:tcPr>
          <w:p>
            <w:pPr>
              <w:spacing w:after="0"/>
              <w:rPr>
                <w:sz w:val="23"/>
                <w:szCs w:val="23"/>
                <w:color w:val="auto"/>
              </w:rPr>
            </w:pPr>
          </w:p>
        </w:tc>
        <w:tc>
          <w:tcPr>
            <w:tcW w:w="1260" w:type="dxa"/>
            <w:vAlign w:val="bottom"/>
            <w:gridSpan w:val="5"/>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(19,769,347) $</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(3,670,428)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(62,399,163)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22,062,419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31,891,974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4,515,182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48,279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convertible debt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192,797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(121,404)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(900,543)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offering cost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88,704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(88,704)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Promissory note interest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50,930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 in kind interest capitalized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266,442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154,808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65,889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(214,325)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65,750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71,750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Security deposit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(63,492)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right of use asset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(720,787)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56,432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operating right of use liability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609,379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224,461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471,689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tax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436,021</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1,064,300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crowdfunding</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795,891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1,529,803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535,067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(26,844)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ind w:left="340"/>
        <w:spacing w:after="0"/>
        <w:tabs>
          <w:tab w:leader="none" w:pos="1720" w:val="left"/>
        </w:tabs>
        <w:rPr>
          <w:sz w:val="20"/>
          <w:szCs w:val="20"/>
          <w:color w:val="auto"/>
        </w:rPr>
      </w:pPr>
      <w:r>
        <w:rPr>
          <w:rFonts w:ascii="Times New Roman" w:cs="Times New Roman" w:eastAsia="Times New Roman" w:hAnsi="Times New Roman"/>
          <w:sz w:val="18"/>
          <w:szCs w:val="18"/>
          <w:color w:val="auto"/>
        </w:rPr>
        <w:t>(1,263,258)</w:t>
      </w:r>
      <w:r>
        <w:rPr>
          <w:sz w:val="20"/>
          <w:szCs w:val="20"/>
          <w:color w:val="auto"/>
        </w:rPr>
        <w:tab/>
      </w:r>
      <w:r>
        <w:rPr>
          <w:rFonts w:ascii="Times New Roman" w:cs="Times New Roman" w:eastAsia="Times New Roman" w:hAnsi="Times New Roman"/>
          <w:sz w:val="18"/>
          <w:szCs w:val="18"/>
          <w:color w:val="auto"/>
        </w:rPr>
        <w:t>1,306,132</w:t>
      </w:r>
    </w:p>
    <w:p>
      <w:pPr>
        <w:spacing w:after="0" w:line="27" w:lineRule="exact"/>
        <w:rPr>
          <w:sz w:val="20"/>
          <w:szCs w:val="20"/>
          <w:color w:val="auto"/>
        </w:rPr>
      </w:pPr>
    </w:p>
    <w:p>
      <w:pPr>
        <w:jc w:val="both"/>
        <w:ind w:left="400"/>
        <w:spacing w:after="0"/>
        <w:tabs>
          <w:tab w:leader="none" w:pos="1940" w:val="left"/>
        </w:tabs>
        <w:rPr>
          <w:sz w:val="20"/>
          <w:szCs w:val="20"/>
          <w:color w:val="auto"/>
        </w:rPr>
      </w:pPr>
      <w:r>
        <w:rPr>
          <w:rFonts w:ascii="Times New Roman" w:cs="Times New Roman" w:eastAsia="Times New Roman" w:hAnsi="Times New Roman"/>
          <w:sz w:val="18"/>
          <w:szCs w:val="18"/>
          <w:color w:val="auto"/>
        </w:rPr>
        <w:t>1,352,892</w:t>
      </w:r>
      <w:r>
        <w:rPr>
          <w:sz w:val="20"/>
          <w:szCs w:val="20"/>
          <w:color w:val="auto"/>
        </w:rPr>
        <w:tab/>
      </w:r>
      <w:r>
        <w:rPr>
          <w:rFonts w:ascii="Times New Roman" w:cs="Times New Roman" w:eastAsia="Times New Roman" w:hAnsi="Times New Roman"/>
          <w:sz w:val="18"/>
          <w:szCs w:val="18"/>
          <w:color w:val="auto"/>
        </w:rPr>
        <w:t>46,760</w:t>
      </w:r>
    </w:p>
    <w:p>
      <w:pPr>
        <w:spacing w:after="0" w:line="31" w:lineRule="exact"/>
        <w:rPr>
          <w:sz w:val="20"/>
          <w:szCs w:val="20"/>
          <w:color w:val="auto"/>
        </w:rPr>
      </w:pPr>
    </w:p>
    <w:p>
      <w:pPr>
        <w:spacing w:after="0"/>
        <w:tabs>
          <w:tab w:leader="none" w:pos="62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89,634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1,352,892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90,790</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settlement</w:t>
            </w:r>
          </w:p>
        </w:tc>
        <w:tc>
          <w:tcPr>
            <w:tcW w:w="1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225,000</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for services rendered</w:t>
            </w:r>
          </w:p>
        </w:tc>
        <w:tc>
          <w:tcPr>
            <w:tcW w:w="1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5,644,597</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for settlement</w:t>
            </w:r>
          </w:p>
        </w:tc>
        <w:tc>
          <w:tcPr>
            <w:tcW w:w="19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3,462,375</w:t>
            </w:r>
          </w:p>
        </w:tc>
        <w:tc>
          <w:tcPr>
            <w:tcW w:w="68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LINE OF BUSINESS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business-to-business operation that provides an innovative approach to the retail industry, specifically in the convenience store sector.</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is a fully autonomous and robotic-operated store that utilizes advanced technologies such as artificial intelligence (AI) and smart inventory management systems to offer a seamless shopping experience for customers.</w:t>
      </w:r>
    </w:p>
    <w:p>
      <w:pPr>
        <w:spacing w:after="0" w:line="161" w:lineRule="exact"/>
        <w:rPr>
          <w:rFonts w:ascii="Times New Roman" w:cs="Times New Roman" w:eastAsia="Times New Roman" w:hAnsi="Times New Roman"/>
          <w:sz w:val="18"/>
          <w:szCs w:val="18"/>
          <w:b w:val="1"/>
          <w:bCs w:val="1"/>
          <w:color w:val="auto"/>
        </w:rPr>
      </w:pPr>
    </w:p>
    <w:p>
      <w:pPr>
        <w:ind w:left="660" w:right="29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16, 2024, the Company created three wholly owned subsidiary limited liability companies: VenHub, LLC to manage manufacturing, assembly and installation of units.</w:t>
      </w:r>
    </w:p>
    <w:p>
      <w:pPr>
        <w:spacing w:after="0" w:line="1" w:lineRule="exact"/>
        <w:rPr>
          <w:rFonts w:ascii="Times New Roman" w:cs="Times New Roman" w:eastAsia="Times New Roman" w:hAnsi="Times New Roman"/>
          <w:sz w:val="18"/>
          <w:szCs w:val="18"/>
          <w:b w:val="1"/>
          <w:bCs w:val="1"/>
          <w:color w:val="auto"/>
        </w:rPr>
      </w:pPr>
    </w:p>
    <w:p>
      <w:pPr>
        <w:ind w:left="660" w:right="34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Services LLC to provide software-as-a-service (SaaS) and ongoing maintenance services. VenHub IP, LLC to hold and manage the Company’s intellectual property.</w:t>
      </w:r>
    </w:p>
    <w:p>
      <w:pPr>
        <w:spacing w:after="0" w:line="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Stores, LLC was incorporated in Nevada on June 4, 2025, as the fourth subsidiary and is designed to focus on ownership of Company-owned stores.</w:t>
      </w:r>
    </w:p>
    <w:p>
      <w:pPr>
        <w:spacing w:after="0" w:line="157" w:lineRule="exact"/>
        <w:rPr>
          <w:rFonts w:ascii="Times New Roman" w:cs="Times New Roman" w:eastAsia="Times New Roman" w:hAnsi="Times New Roman"/>
          <w:sz w:val="18"/>
          <w:szCs w:val="18"/>
          <w:b w:val="1"/>
          <w:bCs w:val="1"/>
          <w:color w:val="auto"/>
        </w:rPr>
      </w:pPr>
    </w:p>
    <w:p>
      <w:pPr>
        <w:ind w:left="660" w:right="5900" w:hanging="652"/>
        <w:spacing w:after="0" w:line="503"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(“U.S. GAAP”). Any reference in these notes to applicable guidance is meant to refer to U.S. GAAP as found in the Accounting Standards Codification (“ASC”) and Accounting Standards Updates (“ASU”) of the Financial Accounting Standards Board (“FASB”).</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Going Concern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has sold three stores and is operating two Company owned stores which were operational on June 6, 2025 and November 4, 2025. Since its inception, the Company has experienced recurring losses and, as of December 31, 2025, reported a working capital deficit of $9,192,737 and negative cash flows from operating activities for the year then ended. These matters raise substantial doubt about the Company’s ability to continue as a going concern. During the next twelve months, the Company intends to fund its operations with funds from revenue producing activities by fulfilling the pre order list along with exploring both additional equity and debt financing. If the Company cannot secure additional short-term capital, it may cease operations. These financial statements and related notes thereto do not include any adjustments that might result from these uncertainties.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 The following table illustrates inventory as of December 31,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148,969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900,543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Inventory consists primarily of raw materials, purchased components, subassemblies, and robotic units. Work in process includes partially assembled robotic systems and artificial intelligence hardware integrated with proprietary software that are in various stages of completion.</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did not have any product inventory on hand as of December 31, 2025, as all product inventory was expensed as incurred. Product inventory turns rapidly and is generally sold within the same reporting period. As a result, all product inventory acquired during the period was sold prior to year-end. Accordingly, ending product inventory was zero, while cost of goods sold for product inventory reflects consumer products sold at LAX Metro and Union Station during the year. Management reviewed purchasing and sales activity through year-end and confirmed no product inventory remained on hand as of December 31,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reported in the prior year financial statements have been reclassified to conform to the current year’s presentation.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Restatement of Previously Issued Consolidated Financial Statements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While preparing its year end December 31, 2024 financials, the Company identified an omission (the “Omission”) in the Company’s historical consolidated financial statements for the year ended December 31, 2024. The Company has since added earnings per share and weighted average common shares outstanding presentation to the statement of operations for the year ended December 31, 2024. We have also updated our footnotes to include an earnings per share disclosure (note 14) and further disclosure for both share based compensation (note 8) and inventory (note 2) policies.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a limited operating history. The Company’s business and operations are sensitive to general business and economic conditions in the United States. A host of factors beyond the Company’s control could cause fluctuations in these conditions. Adverse conditions may include recession, downturn or otherwise, local competition or changes in consumer taste. These adverse conditions could affect the Company’s financial condition and the results of its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Cost of Goods Sold (COGS) includes the cost of consumer products sold through the Company’s automated retail stores, the purchase price of inventory, inbound freight, packaging materials, and costs associated with product assembly or customization. COGS is recorded at the time revenue is recognized, which typically coincides with the transfer of control of goods to the customer.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12" w:gutter="0" w:footer="0" w:header="0"/>
        </w:sectPr>
      </w:pPr>
    </w:p>
    <w:bookmarkStart w:id="73" w:name="page74"/>
    <w:bookmarkEnd w:id="73"/>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in transactions with its subsidiaries and other related entities as part of its normal business operations. These transactions are conducted on terms and conditions that are similar to those with third parties and are eliminated in preparing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4" w:name="page75"/>
    <w:bookmarkEnd w:id="74"/>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is a liability on the Company’s balance sheet that represents payment for preorders of the Company’s stores and for store sale not yet in production. Deferred revenue is recognized as earned revenue on the income statement as the good or service is delivered to the customer. The balance at December 31, 2025 was $1,500,000 and there was no deferred revenue at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deposits are recorded as a liability on the consolidated balance sheets, as the Company has not yet transferred control of the promised goods or services to the customer in accordance with ASC 606, Revenue from Contracts with Customers. Upon satisfaction of the related performance obligations, these amounts will be recognized as revenue. Customer deposits are refundable until the underlying order is fulfilled. The balance at December 31, 2025 and 2024, was $203,645 and $137,895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2" w:lineRule="exact"/>
        <w:rPr>
          <w:sz w:val="20"/>
          <w:szCs w:val="20"/>
          <w:color w:val="auto"/>
        </w:rPr>
      </w:pPr>
    </w:p>
    <w:p>
      <w:pPr>
        <w:jc w:val="both"/>
        <w:ind w:left="1300" w:right="20" w:hanging="971"/>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62" w:lineRule="exact"/>
        <w:rPr>
          <w:sz w:val="20"/>
          <w:szCs w:val="20"/>
          <w:color w:val="auto"/>
        </w:rPr>
      </w:pPr>
    </w:p>
    <w:p>
      <w:pPr>
        <w:jc w:val="both"/>
        <w:ind w:left="1300" w:hanging="971"/>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80" w:lineRule="exact"/>
        <w:rPr>
          <w:sz w:val="20"/>
          <w:szCs w:val="20"/>
          <w:color w:val="auto"/>
        </w:rPr>
      </w:pPr>
    </w:p>
    <w:p>
      <w:pPr>
        <w:ind w:left="320"/>
        <w:spacing w:after="0"/>
        <w:tabs>
          <w:tab w:leader="none" w:pos="128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Prices or valuation techniques requiring inputs that are both significant to the fair value measurement and unobservable.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liabilities measured at fair value at December 31, 2025, and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2" w:lineRule="exact"/>
        <w:rPr>
          <w:sz w:val="20"/>
          <w:szCs w:val="20"/>
          <w:color w:val="auto"/>
        </w:rPr>
      </w:pPr>
    </w:p>
    <w:p>
      <w:pPr>
        <w:ind w:left="640" w:hanging="32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52"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5" w:name="page76"/>
    <w:bookmarkEnd w:id="75"/>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Stores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Smart Stores is recognized at a point in time, generally upon delivery when control of the Smart Store transfers to the customer. Smart Store arrangements typically require that the customer also enter into a SaaS subscription agreement, as the SaaS platform is essential to the full operation of the Smart Store.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Services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SaaS platform provides customers with cloud-based inventory management, artificial intelligence–driven personalization, and autonomous operating functionality. The Company has concluded that SaaS services are a distinct performance obligation within the context of the contract. Revenue from SaaS arrangements will be recognized ratably over the term of the subscription agreement, which is generally one year, as the services are provided. To date, however, the Company has not charged customers for SaaS services in connection with its initial Smart Store deployments. These services have been provided at no cost as part of the Company’s early-stage commercialization strategy, and accordingly, no revenue related to SaaS services has been recognized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may elect to enter into maintenance and support agreements or alternatively request services from the Company on an ad hoc, pay-as-needed basis. Maintenance and support services, when provided under a contractual arrangement, are accounted for as a separate performance obligation and recognized ratably over the term of the contract. Similar to SaaS, the Company has not charged its initial store customers for maintenance services to date, and no revenue has been recognized for these services for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of Intellectual Property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present, the Company does not license its intellectual property separately from Smart Store sales. Should the Company enter into licensing arrangements in the future, such arrangements will be evaluated to determine whether they provide a right to use or a right to access the Company’s intellectual property and revenue will be recognized accordingly.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evaluation under ASC 606-10-25-19 through 25-22 determined that while the Smart Store and SaaS are each capable of being distinct, the SaaS platform is essential to the full operation of the Smart Store, as disclosed in the Smart Store revenue recognition policy. As noted above, the Company has not recognized revenue for SaaS or maintenance services for the periods presented because such services were provided free of charge. Revenue is recognized at a point in time or over time, depending on the nature of the performance obligation.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not charged customers for SaaS or maintenance services in connection with its initial Smart Store deployments; accordingly, no revenue related to SaaS or maintenance services has been recognized. The Company expects to begin charging for such services in the future and will recognize revenue over the service period in accordance with ASC 606.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Company entered into SaaS subscription agreements in connection with the opening of its North Hollywood, Glendale and Hollywood Smart Stores. Although SaaS is a distinct performance obligation under ASC 606, the Company elected to provide such services free of charge as part of its early commercialization strategy. Accordingly, while the contracts were identified and performance obligations allocated, the transaction price attributable to SaaS was zero, and no SaaS revenue was recognized for the year ended December 31, 2025. Management expects that, in future periods, SaaS services will be billed and revenue recognized ratably over the contract term as the services are provided.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ASC 606-10-25-19 through 22, we considered whether the customer can benefit from the good or service either on its own or together with other readily available resources; and the good or service is separately identifiable from other promises in the contract.</w:t>
      </w:r>
    </w:p>
    <w:p>
      <w:pPr>
        <w:spacing w:after="0" w:line="3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each contract is distinct from each other and stand alone, the Company has determined that each is a separate performance obligation, and not bundled together.</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product sales, revenue is typically recognized at the point in time when control is transferred, which generally occurs upon shipment or delivery, depending on the terms of the contract. For services or subscription-based contracts, revenue is recognized over time as the services are rendered.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on the nature of the goods or services, geographical region, and timing of revenue recognition, as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66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Timing of</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 Category</w:t>
            </w:r>
          </w:p>
        </w:tc>
        <w:tc>
          <w:tcPr>
            <w:tcW w:w="15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Recognition</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Point in Time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50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8"/>
              </w:rPr>
              <w:t>Point in Time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SaaS Revenue</w:t>
            </w:r>
          </w:p>
        </w:tc>
        <w:tc>
          <w:tcPr>
            <w:tcW w:w="1500" w:type="dxa"/>
            <w:vAlign w:val="bottom"/>
            <w:gridSpan w:val="3"/>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Over Time</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Maintenance Revenue</w:t>
            </w:r>
          </w:p>
        </w:tc>
        <w:tc>
          <w:tcPr>
            <w:tcW w:w="13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Over Time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864,450</w:t>
            </w:r>
          </w:p>
        </w:tc>
        <w:tc>
          <w:tcPr>
            <w:tcW w:w="0" w:type="dxa"/>
            <w:vAlign w:val="bottom"/>
          </w:tcPr>
          <w:p>
            <w:pPr>
              <w:spacing w:after="0"/>
              <w:rPr>
                <w:sz w:val="1"/>
                <w:szCs w:val="1"/>
                <w:color w:val="auto"/>
              </w:rPr>
            </w:pPr>
          </w:p>
        </w:tc>
      </w:tr>
      <w:tr>
        <w:trPr>
          <w:trHeight w:val="21"/>
        </w:trPr>
        <w:tc>
          <w:tcPr>
            <w:tcW w:w="66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There was no revenue for the year ended December 31, 2024.</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02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Organizational Costs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accordance with FASB ASC 720, organizational costs, including accounting fees, legal fee, and costs of incorporation, are expensed as incurred.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All advertising expenses are in relation to the Company’s crowdfunding and social media efforts (see Note 5). The Company incurred $740,731 and $771,864 in advertising expense for the year ended December 31, 2025, and 2024,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All research and development costs relate to developing our smart store technology. Costs incurred for the year ended December 31, 2025, and 2024, were $1,215,098 and $875,975 respectively.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met the criteria for capitalization of costs related to products to be sold at the beginning of the first quarter of 2025. The smart store is ready for commercial production which is supported by conclusive design approvals, market testing, and validated production processes. Subsequent costs incurred to set up production and the transition to a commercial production phase began resulting in capitalization of product costs, rather than expensing them as research and development. See our inventory accounting policy for further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recognizes expense for its share-based compensation based on the fair value of the awards at the time they are granted. For the purposes of estimating share-based compensation expense for these awards, the Company estimates the fair value of common stock issued at or near the date of grant using a combination of an income approach and a market approach under Section 409A of the United States Internal Revenue Code. Share-based compensation is included in general and administrative expenses. Refer to Note 7 for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elected to account for all of its convertible notes using the fair value option in accordance with ASC 825. Management has made this election in order to combine the accounting for the embedded derivative features created by the contingent call and put options within the Notes. The aggregate unpaid principal balance of the 2024 and 2025 Notes is $4,000,000. The Company has recognized a loss of $117,710 and $192,797 of change in fair value of convertible debt associated with instrument-specific credit risk for the year ended December 31, 2025 and 2024 respectively. The fair value of the notes is determined based a combination of changes in the federal funds rate, as well as a Black Scholes model for the embedded derivative and is classified as level 3 within the fair value hierarchy. The fair value of the Convertible Notes may change significantly as additional data is obtained, impacting the Company’s assumptions regarding probabilities of outcomes used to estimate the fair value of these liabilities.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2025, per the terms of the convertible notes the Company has capitalized previously expensed interest to the carrying value of the convertible notes on the balance sheet in the amount of $266,442.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election of the fair value option, debt issuance costs of $100,000 were expensed immediately as part of interest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Note 9 and Note 10.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costs of computer software to be sold, leased, or otherwise marketed in accordance with ASC 985-20, </w:t>
      </w:r>
      <w:r>
        <w:rPr>
          <w:rFonts w:ascii="Times New Roman" w:cs="Times New Roman" w:eastAsia="Times New Roman" w:hAnsi="Times New Roman"/>
          <w:sz w:val="18"/>
          <w:szCs w:val="18"/>
          <w:i w:val="1"/>
          <w:iCs w:val="1"/>
          <w:color w:val="auto"/>
        </w:rPr>
        <w:t>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Software development costs incurred prior to the establishment of technological feasibility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Once technological feasibility is established, costs incurred in the development of the product are capitalized until the product is available for general release to customers.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software costs are amortized over the estimated economic life of the related product, which generally ranges from five to seven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capitalized software development costs totaled $107,306, which is incorporated in Property Plant and Equipment,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$12,981 of amortization for the year ended December 31, 2025 and no amortization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18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AGREEMENT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2025, the Company entered into a settlement agreement with Target Global Acquisition I Corp. Pursuant to the Settlement and Release Agreement, the Parties mutually agreed to terminate the Agreement and Plan of Merger, by and among Venhub and TGAA Parties, dated as of December 2, 2024. On May 21, 2025, the full Settlement Consideration was delivered, and the Business Combination Agreement, terminated in accordance with their terms (subject to the survival of certain confidentiality provisions).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termination, the Parties agreed to the following consideration to be provided to TGAA:</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in cash;</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promissory note in an amount equal to $2,500,000 with a 4% annual interest rate compounding semi-annually with a maturity date of May 16, 2030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3,462,375 shares of Venhub common stock.</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recognized the loss under ASC 450-20-25-2 as an estimated loss from a loss contingency and shall be accrued by a charge to income if both of the following conditions are met: Information available before the financial statements are issued or are available to be issued (as discussed in Section 855-10-25) indicates that it is probable that an asset had been impaired or a liability had been incurred at the date of the financial statements and the amount of loss can be reasonably estimated.</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Events of default: if there shall be any Event of Default (as defined below) hereunder, at the option and upon the declaration of the Holder and upon written notice to the Company (which election and notice shall not be required in the case of an Event of Default under subsection (i) or (ii) below), this Note shall accelerate and all principal and unpaid accrued interest shall become due and payable. The occurrence of any one or more of the following shall constitute an “Event of Default”:</w:t>
      </w:r>
    </w:p>
    <w:p>
      <w:pPr>
        <w:spacing w:after="0" w:line="180" w:lineRule="exact"/>
        <w:rPr>
          <w:sz w:val="20"/>
          <w:szCs w:val="20"/>
          <w:color w:val="auto"/>
        </w:rPr>
      </w:pPr>
    </w:p>
    <w:p>
      <w:pPr>
        <w:jc w:val="both"/>
        <w:ind w:left="980"/>
        <w:spacing w:after="0" w:line="266" w:lineRule="auto"/>
        <w:tabs>
          <w:tab w:leader="none" w:pos="12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980"/>
        <w:spacing w:after="0" w:line="266" w:lineRule="auto"/>
        <w:tabs>
          <w:tab w:leader="none" w:pos="1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any Borrower (unless such petition is dismissed or discharged within 45 days under any bankruptcy statute now or hereafter in effect, or a custodian, receiver, trustee or assignee for the benefit of creditors (or other similar official) is appointed to take possession, custody or control of any property of such Borrower);</w:t>
      </w:r>
    </w:p>
    <w:p>
      <w:pPr>
        <w:spacing w:after="0" w:line="175" w:lineRule="exact"/>
        <w:rPr>
          <w:rFonts w:ascii="Times New Roman" w:cs="Times New Roman" w:eastAsia="Times New Roman" w:hAnsi="Times New Roman"/>
          <w:sz w:val="18"/>
          <w:szCs w:val="18"/>
          <w:color w:val="auto"/>
        </w:rPr>
      </w:pPr>
    </w:p>
    <w:p>
      <w:pPr>
        <w:ind w:left="98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security interest created by this Note shall at any time fail to constitute a valid security interest on all of the Collateral (as defined below) purported to be encumbered hereby or (b) any Borrower challenges the validity of the security interest created by this Note;</w:t>
      </w:r>
    </w:p>
    <w:p>
      <w:pPr>
        <w:spacing w:after="0" w:line="161" w:lineRule="exact"/>
        <w:rPr>
          <w:rFonts w:ascii="Times New Roman" w:cs="Times New Roman" w:eastAsia="Times New Roman" w:hAnsi="Times New Roman"/>
          <w:sz w:val="18"/>
          <w:szCs w:val="18"/>
          <w:color w:val="auto"/>
        </w:rPr>
      </w:pPr>
    </w:p>
    <w:p>
      <w:pPr>
        <w:jc w:val="both"/>
        <w:ind w:left="980"/>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make any payments when due and payable under this Note that continues for more than 5 business days; (v) the Borrowers fail to satisfy any covenant, obligation or other requirement (A) under Sections 3(d), (f), (g) and (h) of this Note or (B) otherwise under this Note or any agreements related thereto that, with respect to this clause (B), is not cured within 30 days of notice or the Borrowers’ knowledge;</w:t>
      </w:r>
    </w:p>
    <w:p>
      <w:pPr>
        <w:spacing w:after="0" w:line="180" w:lineRule="exact"/>
        <w:rPr>
          <w:sz w:val="20"/>
          <w:szCs w:val="20"/>
          <w:color w:val="auto"/>
        </w:rPr>
      </w:pPr>
    </w:p>
    <w:p>
      <w:pPr>
        <w:ind w:left="1280" w:hanging="300"/>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Borrowers pursuant to this Note shall prove to be incorrect, false or misleading; or</w:t>
      </w:r>
    </w:p>
    <w:p>
      <w:pPr>
        <w:spacing w:after="0" w:line="225" w:lineRule="exact"/>
        <w:rPr>
          <w:rFonts w:ascii="Times New Roman" w:cs="Times New Roman" w:eastAsia="Times New Roman" w:hAnsi="Times New Roman"/>
          <w:sz w:val="18"/>
          <w:szCs w:val="18"/>
          <w:color w:val="auto"/>
        </w:rPr>
      </w:pPr>
    </w:p>
    <w:p>
      <w:pPr>
        <w:jc w:val="both"/>
        <w:ind w:left="980"/>
        <w:spacing w:after="0" w:line="261" w:lineRule="auto"/>
        <w:tabs>
          <w:tab w:leader="none" w:pos="1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or similar event with respect to any other debt of the Borrowers in excess of $750,000 that permits the lenders or holders of such debt to accelerate the amounts due and payable thereunder; provided that if such “event of default” or similar event is cured or waived within 30 days after the occurrence thereof, and the lenders or holders thereof have not accelerated the amounts due and payable thereunder, the corresponding Event of Default pursuant to this clause shall be automatically deemed cured.</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any declaration of acceleration, the Maturity Date shall be deemed to be the date of such acceleration and the principal and interest under this Note shall become immediately due and payable and the Holder shall be entitled to exercise all of its rights and remedies hereunder, under applicable law, and as provided for under this Note, whether at law or in equity. The failure of the Holder to declare this Note due and payable upon the occurrence and during the continuation of an Event of Default shall not be a waiver of its right to do so, and the Holder shall retain the right to declare this Note due and payable.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for lease commitments.</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Executive Officer and the Company’s President, are married. The marital relationship between these two executive officers represents a related-party relationship under ASC 850-10-50-1.</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each respectively during the year ended December 31, 2025.</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of December 31, 2024, the Chief Executive Officer had $802,083, the President $791,383 and the Chief Financial Officer $85,000, respectively, in accrued compensation that they have voluntarily deferred until future periods. Payments of $40,700, $130,000 and $35,000 were made to each respectively during the year ended December 31, 2024</w:t>
      </w:r>
    </w:p>
    <w:p>
      <w:pPr>
        <w:spacing w:after="0" w:line="175" w:lineRule="exact"/>
        <w:rPr>
          <w:rFonts w:ascii="Times New Roman" w:cs="Times New Roman" w:eastAsia="Times New Roman" w:hAnsi="Times New Roman"/>
          <w:sz w:val="18"/>
          <w:szCs w:val="18"/>
          <w:b w:val="1"/>
          <w:bCs w:val="1"/>
          <w:color w:val="auto"/>
        </w:rPr>
      </w:pPr>
    </w:p>
    <w:p>
      <w:pPr>
        <w:ind w:left="660" w:right="22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 On November 24, 2025, the CEO signed a promissory note with the Company for $250,000.</w:t>
      </w:r>
    </w:p>
    <w:p>
      <w:pPr>
        <w:spacing w:after="0" w:line="1" w:lineRule="exact"/>
        <w:rPr>
          <w:rFonts w:ascii="Times New Roman" w:cs="Times New Roman" w:eastAsia="Times New Roman" w:hAnsi="Times New Roman"/>
          <w:sz w:val="18"/>
          <w:szCs w:val="18"/>
          <w:b w:val="1"/>
          <w:bCs w:val="1"/>
          <w:color w:val="auto"/>
        </w:rPr>
      </w:pPr>
    </w:p>
    <w:p>
      <w:pPr>
        <w:jc w:val="both"/>
        <w:ind w:left="660" w:right="4040"/>
        <w:spacing w:after="0" w:line="5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December 4, 2025, the CEO signed a promissory note with the Company for $250,000. On December 9, 2025, the CEO signed a promissory note with the Company for $250,000. On December 9, 2025, the CEO signed a promissory note with the Company for $250,000. All notes expire at the one year from issuance date and accrue interest at 7% per annum.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CROWDFUNDING OFFERING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79" w:lineRule="exact"/>
        <w:rPr>
          <w:rFonts w:ascii="Times New Roman" w:cs="Times New Roman" w:eastAsia="Times New Roman" w:hAnsi="Times New Roman"/>
          <w:sz w:val="18"/>
          <w:szCs w:val="18"/>
          <w:b w:val="1"/>
          <w:bCs w:val="1"/>
          <w:color w:val="auto"/>
        </w:rPr>
      </w:pPr>
    </w:p>
    <w:p>
      <w:pPr>
        <w:ind w:left="660" w:right="9300" w:hanging="652"/>
        <w:spacing w:after="0" w:line="503"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Operating Leases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leases with a term of 12 months or less, the Company is permitted to make an accounting policy election by class of underlying asset not to recognize lease assets and lease liabilities, and we recognize lease expense for such leases on a straight-line basis over the lease term.</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10, 2025, the Company signed a lease for new office space in Las Vegas, which is a triple net lease expiring in April 2027 with two option renewal periods totaling up to four additional years that the Company is likely subsequently to exercise.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 2025, the Company entered into a kiosk lease agreement with the Los Angeles County Metropolitan Transportation Authority for Kiosk Space 7 and Storage Space 3 located at Union Station East, Los Angeles, California. The lease commenced in November 2025 and has a non-cancelable term of thirty-six (36) months. The lease provides for fixed monthly base rent and fixed additional rent (common area charges), with scheduled increases over the lease term. In addition, the lease requires the Company to pay percentage rent equal to five percent (5%) of gross sales exceeding $25,000 per month. Percentage rent is considered variable lease cost and is not included in the measurement of the lease liability.</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analyzed these leases and determined that these agreements meet the definition of a lease under ASU 842, Leases, as it provides management with the exclusive right to direct the use of and obtain substantially all of the economic benefits from the identified leased asset, which is the office space and showroom. Management also analyzed the terms of these arrangements and concluded they should be classified as an operating lease, as none of the criteria were met for finance lease classification. As there was only one identified asset, no allocation of the lease payments was deemed necessary. Management did not incur any initial direct costs associated with this lease. Per review of the lease agreements, there is no implicit rate stated. Therefore, the Company determined the present value of the future minimum lease payments based on the incremental borrowing rate of the Company. The incremental borrowing rate was determined to be 3.82% for Las Vegas and 3.6% for Union Station, as this is the rate which represents the incremental borrowing rate for the Company, on a collateralized basis, in a similar economic environment with similar payment terms.</w:t>
      </w:r>
    </w:p>
    <w:p>
      <w:pPr>
        <w:spacing w:after="0" w:line="18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May 29, 2025, the Company signed a right of entry with Los Angeles County Metro Transportation Authority for its flagship Company owned store. The right of entry is month to month with a $1,500 monthly fee.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future minimum payments on operating leases for each of the next five years and in the aggregate amount to the following: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245,556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171,792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148,450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197,933</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1,148,348</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(94,404)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346,953</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706,441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was 4.5 years and the weighted-average discount rate used to measure the present value of the Company’s operating lease liabilities was 5.5% as of December 31, 2025.</w:t>
      </w:r>
    </w:p>
    <w:p>
      <w:pPr>
        <w:spacing w:after="0" w:line="162"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7"/>
          <w:szCs w:val="17"/>
          <w:color w:val="auto"/>
        </w:rPr>
        <w:t>Right of use assets represent the right to use an underlying asset for the lease term and lease liabilities represent the Company’s obligation to make lease payments arising from the lease. Operating lease right of use assets and liabilities are recognized at commencement date based on the present value of lease payments over the lease term. As the Company’s leases do not provide an implicit rate, the Company uses an incremental borrowing rate based on the information available at commencement date in determining the present value of lease payments. The operating lease right of use asset also includes lease incentives. The Company’s lease terms include an option to extend or terminate the lease and it is reasonably certain that the Company will exercise that option to extend. Lease expense for lease payments is recognized on a straight-line basis over the lease term.</w:t>
      </w:r>
    </w:p>
    <w:p>
      <w:pPr>
        <w:spacing w:after="0" w:line="17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determining the discount rate to use in calculating the present value of lease payments, the Company estimates the rate of interest it would pay on a collateralized loan with the same payment terms as the lease by utilizing bond yields traded in the secondary market to determine the estimated cost of funds for the particular tenor.</w:t>
      </w:r>
    </w:p>
    <w:p>
      <w:pPr>
        <w:spacing w:after="0" w:line="17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Stock-based compensation expense is measured at the grant-date fair value of the award and recognized in the statement of operations over the requisite service period. For awards that vest immediately upon grant, the Company recognizes the full expense on the grant date.</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common stock issued for services was determined based on contemporaneous third-party valuations of the Company’s common stock or other observable market inputs at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issued stock to certain third-party contractors and directors of the Company in exchange for services provided. All stock issued to third parties vested immediately upon issuance. The Company issued a total of 5,644,597 and 1,981,224 shares of common stock, recognizing share-based compensation expense for these awards totaling $31,891,974 and $4,515,182 for the year ended December 31, 2025.</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all awards vested immediately upon issuance, the Company had no unrecognized compensation cost related to unvested stock-based awards as of December 31, 2025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or benefit for federal or state income taxes has been recorded for the years ended December 31, 2025 and 2024, as the Company incurred net losses for the periods presented and has recorded a full valuation allowance against its deferred tax assets. The Company did not make any material income tax payments during the years ended December 31, 2025 and 2024. The Company’s loss from continuing operations before income taxes was entirely attributable to domestic operations for the years ended December 31, 2025 and 2024.</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2025, the Company redomiciled from California to Nevada. Nevada does not impose a corporate income tax; accordingly, the Company’s effective tax rate no longer includes a state income tax component beginning in 2025.</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the Company had federal and state net operating loss (“NOL”) carryforwards of approximately $ 12,389,351 and $3,932,470, respectively. Federal NOLs generated after December 31, 2017 do not expire; however, utilization is limited to 80% of taxable income in any future year.</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Utilization of the Company’s NOL carryforwards may be subject to annual limitations under Section 382 of the Internal Revenue Code, and similar state provisions, if an ownership change were to occur. Such limitations could result in the expiration of NOLs before full utilization.</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components of the Company’s net deferred tax assets as of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2,613,978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1,166,108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14,119,563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FV of convertible note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53,738</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(17,242,789)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(5,495,563)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when, based on available evidence, it is more likely than not that deferred tax assets will not be realized. In evaluating realizability, management considers cumulative historical losses, projected future taxable income, reversal of existing taxable temporary differences, and feasible tax planning strategies.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Due to cumulative losses and the absence of sufficient objectively verifiable positive evidence of future taxable income, management has concluded that it is more likely than not that the deferred tax assets will not be realized. Accordingly, a full valuation allowance has been recorded as of December 31, 2025 and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by $ 11,735,012 and $ 2,733,136 during the years ended December 31,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The Company had no unrecognized tax benefits as of December 31, 2025, and 2024.</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income tax expense. No interest or penalties were recorded during the periods presented.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Because the Company has NOL carryforwards, tax years remain open to examination by federal and state taxing authorities for all years in which the NOLs may be utilized.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December 31, 2025 and 2024 differs from the U.S. federal statutory rate primarily due to the impact of the valuation allowance,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(1,355,110)</w:t>
            </w:r>
          </w:p>
        </w:tc>
        <w:tc>
          <w:tcPr>
            <w:tcW w:w="2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17,242,789</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(21.00%)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5,495,563</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Effective income tax expense (benefit)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decrease in the state income tax rate component in 2025 is due to the Company’s change in state of incorporation from California to Nevada during the year. Nevada does not impose corporate income tax.</w:t>
      </w:r>
    </w:p>
    <w:p>
      <w:pPr>
        <w:spacing w:after="0" w:line="1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16, 2024, December 2, 2024 and February 14, 2025, the Company executed convertible promissory note purchase agreements (the “Purchase Agreements”) with a third-party investor under which VenHub would issue a series of notes (individually the “Note” and collectively, the “Notes”) as part of a private, unregistered offering. The Purchase Agreements provided for the following terms for Notes to be issued:</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ending five years from execution of each Note (the “Maturity Date”)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semiannually on February 15 and August 15, beginning February 15, 2025 (the “Interest Payment Date”)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accrues based on a 360-day year</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(i) in kind (“PIK Interest”) which is added to the principal amount of each Note and (ii) in cash (“Cash Interest”) on each Interest Payment Date</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for the first year ending August 15, 2025, are 9% for PIK interest and 3% for Cash Interest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increase each of the following two years beginning August 16 to a maximum of 12% PIK Interest and 6% Cash Interest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interest and principal are due in cash at the Maturity Date</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On February 14, 2025 the Company executed five notes with five investors for a combined $650,000. All amounts in principal total $4,000,000 and $100,000 of debt issuance costs were expensed to interest expense due to the election of the fair value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Notes have repayment and conversion features, as described in the following:</w:t>
      </w:r>
    </w:p>
    <w:p>
      <w:pPr>
        <w:spacing w:after="0" w:line="225" w:lineRule="exact"/>
        <w:rPr>
          <w:sz w:val="20"/>
          <w:szCs w:val="20"/>
          <w:color w:val="auto"/>
        </w:rPr>
      </w:pPr>
    </w:p>
    <w:p>
      <w:pPr>
        <w:ind w:left="644" w:hanging="644"/>
        <w:spacing w:after="0" w:line="28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financing or series of financings for gross cash proceeds of at least $25 million, including issuance of Notes (a “Qualified Financing”) prior to a business combination, as defined in the Notes (a “Business Combination”):</w:t>
      </w:r>
    </w:p>
    <w:p>
      <w:pPr>
        <w:spacing w:after="0" w:line="162"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Note shall be, at the election of the Holder, (i) converted into a number of shares of Common Stock equal to the quotient obtained by dividing (A) the Outstanding Principal Balance on this Note as of the Conversion Date by (B) six dollars ($6.00) and rounding down to the nearest whole number of shares, (ii) redeemed for cash by the Company at a value equal to 1.2 multiplied by the MOIC (as defined below), or (iii) both converted into shares of Common Stock and redeemed for cash at an aggregate value equal to 1.2 multiplied by the MOIC in such proportion as determined by the Holder.</w:t>
      </w:r>
    </w:p>
    <w:p>
      <w:pPr>
        <w:spacing w:after="0" w:line="183" w:lineRule="exact"/>
        <w:rPr>
          <w:sz w:val="20"/>
          <w:szCs w:val="20"/>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Qualified Financing after a Business Combination, but prior to August 19, 2025:</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Note shall be, at the election of the Holder, (i) converted into shares of Common Stock at the then applicable Note Conversion Price (defined below), (ii) redeemed for cash by the Company at a value equal to 1.2 multiplied by the MOIC, or (iii) both converted into shares of Common Stock and redeemed for cash at an aggregate value equal to 1.2 multiplied by the MOIC in such proportion as determined by the Holder.</w:t>
      </w:r>
    </w:p>
    <w:p>
      <w:pPr>
        <w:spacing w:after="0" w:line="176" w:lineRule="exact"/>
        <w:rPr>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consummation of a Business Combination and prior to the Maturity Date:</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Holder of the Note may elect to convert the Note at the then-applicable Note Conversion Price (defined below), subject to the Optional Redemption by the Company (defined below).</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Conversion Price</w:t>
      </w:r>
    </w:p>
    <w:p>
      <w:pPr>
        <w:spacing w:after="0" w:line="225" w:lineRule="exact"/>
        <w:rPr>
          <w:sz w:val="20"/>
          <w:szCs w:val="20"/>
          <w:color w:val="auto"/>
        </w:rPr>
      </w:pPr>
    </w:p>
    <w:p>
      <w:pPr>
        <w:jc w:val="both"/>
        <w:ind w:left="644" w:hanging="644"/>
        <w:spacing w:after="0" w:line="26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a Business Combination by the Company and for sixty (60) days thereafter, the quotient obtained by dividing (A) the Outstanding Principal Balance on this Note as of the Conversion Date by (B) $7.50 and rounding down to the nearest whole number of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that is sixty (60) days following the consummation of a Business Combination until the first anniversary of the consummation of the Business Combination, the quotient obtained by dividing (A) the Outstanding Principal Balance on this Note as of the Conversion Date by (B) the product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by multiplying (y) the trailing 20-day volume weighted average price (“VWAP”) per share of the Common Stock on Nasdaq as of the Conversion Date and (z) 0.8, and rounding down to the nearest whole number of shares.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anniversary of the consummation of the Business Combination until the second anniversary of the consummation of the Business Combination, the quotient obtained by dividing (A) the Outstanding Principal Balance on this Note as of the Conversion Date by (B) the product obtained by multiplying (y) the 20-day VWAP per share of Common Stock on Nasdaq measured as of the Conversion Date and (z) 0.85 and rounding down to the nearest whole number of shares.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second anniversary of the consummation of the Business Combination until the Maturity Date, the quotient obtained by dividing (A) the Outstanding Principal Balance on this Note as of the Conversion Date by (B) the product obtained by multiplying (y) the 20-day VWAP per share of Common Stock on Nasdaq measured as of the Conversion Date and (z) 0.9, and rounding down to the nearest whole number of shares.</w:t>
      </w:r>
    </w:p>
    <w:p>
      <w:pPr>
        <w:spacing w:after="0" w:line="180" w:lineRule="exact"/>
        <w:rPr>
          <w:sz w:val="20"/>
          <w:szCs w:val="20"/>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by the Company:</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At any time after August 19, 2026, and prior to the Maturity Date, at the Company’s option upon at least one (1) Business Day’s prior written notice, the Company may redeem for cash all (but not less than all) of the Outstanding Principal Balance on this Note at a price equal to 1.25 multiplied by the MOIC:</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MOIC</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A multiple of invested capital, to be calculated as follows: (i) the sum of all amounts received in cash by the Holder (including, without limitation, interest paid in cash and PIK Interest) in respect of the Outstanding Principal Balance evidenced by this Note divided by (ii) the Initial Outstanding Principal Balance; for the avoidance of doubt the Outstanding Principal Balance shall be reduced by the amount of any portion of the Note that has been converted.</w:t>
      </w:r>
    </w:p>
    <w:p>
      <w:pPr>
        <w:spacing w:after="0" w:line="39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or Qualified Financing on or before December 31, 2025:</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redeem all (but not less than all) of the Outstanding Principal Balance on this Note including any accrued and unpaid interest (including PIK Interest).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There were no transfers between fair value measurement levels during the years ended December 31, 2025, or 2024.</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measured at fair value at December 31, 2025, and December 31,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60" w:type="dxa"/>
            <w:vAlign w:val="bottom"/>
            <w:gridSpan w:val="12"/>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4,576,949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4,576,949</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r>
      <w:tr>
        <w:trPr>
          <w:trHeight w:val="237"/>
        </w:trPr>
        <w:tc>
          <w:tcPr>
            <w:tcW w:w="5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3,542,797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3,542,797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The derivative portion of the convertible note was valued using a Black-Scholes simulation model. As a result of the election to apply the fair value option, the value of the conversion feature is not separately presented on the balance sheet.</w:t>
      </w:r>
    </w:p>
    <w:p>
      <w:pPr>
        <w:spacing w:after="0" w:line="162"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convertible notes as of December 31,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6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560" w:type="dxa"/>
            <w:vAlign w:val="bottom"/>
            <w:gridSpan w:val="2"/>
          </w:tcPr>
          <w:p>
            <w:pPr>
              <w:ind w:left="5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637"/>
        </w:trPr>
        <w:tc>
          <w:tcPr>
            <w:tcW w:w="3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ind w:left="2200"/>
              <w:spacing w:after="0"/>
              <w:rPr>
                <w:sz w:val="20"/>
                <w:szCs w:val="20"/>
                <w:color w:val="auto"/>
              </w:rPr>
            </w:pPr>
            <w:r>
              <w:rPr>
                <w:rFonts w:ascii="Times New Roman" w:cs="Times New Roman" w:eastAsia="Times New Roman" w:hAnsi="Times New Roman"/>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The Company’s CODM assesses significant segment expenses in comparison to forecasts and historical results to make decisions on capital allocation strategies. The measure of segment assets is reported on the balance sheets as total assets. All material long-lived assets are located in the United States.</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significant segment expenses that are regularly provided to the CODM for the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37,061,557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875,975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2025, the Company entered into subscription agreement with certain investors, providing for the issuance and sale of 405,162 Units, consisting of 810,324 shares of the Company’s Common Stock and 405,162 warrants to purchase up to 405,162 shares of Common Stock (the “Subscriber Warrants”) for a total subscription amount of $3,500,000 (the “Offering”).</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Subscriber Warrants have an exercise price of $4.32 per share and expire five years from the date of issuance (June 30, 2030). The Subscriber Warrants exercise price and number of underlying shares may be adjusted for customary antidilution events. The Company analyzed the Subscriber Warrants and determined that they met the requirements under ASC 815-40 to be classified in stockholders’ equity.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allocated proceeds from the Offering to the shares of Common Stock sold and the Warrants issued on a relative fair value basis. The measurement of fair value of the Subscriber Warrants was determined utilizing a Black-Scholes model considering all relevant assumptions current at the date of issuance (i.e., share price of $4.56, exercise price of $4.32, term of five years, volatility of 46.0%, risk-free rate of 3.8%, and expected dividend rate of 0.0%). The grant date fair value of the Subscriber Warrants was estimated to be $862,000 and is reflected within additional paid-in capital (based on a relative fair value allocation along with the proceeds allocated to the shares of common stock issued) in the Company’s balance sheet as of December 31, 2025.</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earnings loss per share (“EPS”) in accordance with ASC 260, Earnings Per Share. Basic EPS is calculated by dividing net loss available to common stockholders by the weighted average number of common shares outstanding during the period. Diluted EPS adjusts basic EPS for the potential dilution that could occur if securities or other contracts to issue common stock were exercised or converted into common stock.</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all periods presented, the Company reported a net loss, and therefore the effect of all potential common stock equivalents was anti-dilutive. As such, basic and diluted net loss per share are the same.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510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655"/>
        </w:trPr>
        <w:tc>
          <w:tcPr>
            <w:tcW w:w="5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F-24</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potentially dilutive securities that were excluded from the computation of diluted net loss per share because their effect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37,935,029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610,260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472,373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anitdilutive securities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1,015,422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38,407,402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extended the convertible notes (see note 9) to March 31, 2026, for 2,000,000 total common shares pro rata to nine investors at a price of $5.65 as no business combination or qualified financing occurred before December 31, 2025.</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signed two stock purchase agreements with two investors for 25,001 common shares at $12 a share for net proceeds of $300,012.</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2026, the Company commenced trading under the ticker symbol “VHUB” on the NASDAQ Global Market.</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2026, VenHub Global, Inc. (the “Company”) entered into a securities purchase agreement (the “Purchase Agreement”) with an institutional investor, pursuant to which the Company agreed to sell to the investor, and the investor agreed to purchase from the Company, in a private placement offering, an aggregate of (i) 7,700,000 shares (the “Shares”) of the Company’s common stock, par value $0.001 per share (the “Common Stock”), at a purchase price of $2.45 per Share, and (ii) warrants to purchase up to 7,700,000 shares of Common Stock (the “Common Warrants”), for aggregate gross proceeds under the Purchase Agreement of $18,865,000. The Common Warrants have an exercise price of $2.45 per share. The offering closed on February 12, 2026, following satisfaction of customary closing conditions.</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11, 2026, the Company signed an operating lease for new warehouse space in Las Vegas Nevada which is a triple net with a term of one year.</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Shahan Ohanessian and Shoushana Ohanessian, our CEO and President respectively, have agreed to defer bonus shares of 2,000,000 and 1,500,000, respectively, that were deemed due upon commencement of trading on January 30, 2026 to October 1, 2026.</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2026 the Company settled nine notes per the terms of the qualified financing outlined in note 9 for an aggregate total of $5,995,676.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9280"/>
        <w:spacing w:after="0"/>
        <w:rPr>
          <w:sz w:val="20"/>
          <w:szCs w:val="20"/>
          <w:color w:val="auto"/>
        </w:rPr>
      </w:pPr>
      <w:r>
        <w:rPr>
          <w:rFonts w:ascii="Times New Roman" w:cs="Times New Roman" w:eastAsia="Times New Roman" w:hAnsi="Times New Roman"/>
          <w:sz w:val="17"/>
          <w:szCs w:val="17"/>
          <w:b w:val="1"/>
          <w:bCs w:val="1"/>
          <w:color w:val="auto"/>
        </w:rPr>
        <w:t>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4613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9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9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9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Shahan Ohanessian,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VenHub Global,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3/24/2026</w:t>
      </w:r>
      <w:r>
        <w:rPr>
          <w:sz w:val="20"/>
          <w:szCs w:val="20"/>
          <w:color w:val="auto"/>
        </w:rPr>
        <w:tab/>
      </w:r>
      <w:r>
        <w:rPr>
          <w:rFonts w:ascii="Times New Roman" w:cs="Times New Roman" w:eastAsia="Times New Roman" w:hAnsi="Times New Roman"/>
          <w:sz w:val="17"/>
          <w:szCs w:val="17"/>
          <w:i w:val="1"/>
          <w:iCs w:val="1"/>
          <w:color w:val="auto"/>
        </w:rPr>
        <w:t>/s/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Shahan Ohanessian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Hidalgo,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VenHub Global,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3/24/2026</w:t>
      </w:r>
      <w:r>
        <w:rPr>
          <w:sz w:val="20"/>
          <w:szCs w:val="20"/>
          <w:color w:val="auto"/>
        </w:rPr>
        <w:tab/>
      </w:r>
      <w:r>
        <w:rPr>
          <w:rFonts w:ascii="Times New Roman" w:cs="Times New Roman" w:eastAsia="Times New Roman" w:hAnsi="Times New Roman"/>
          <w:sz w:val="17"/>
          <w:szCs w:val="17"/>
          <w:i w:val="1"/>
          <w:iCs w:val="1"/>
          <w:color w:val="auto"/>
        </w:rPr>
        <w:t>/s/ Matt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Hidalgo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VenHub Global, Inc. (the “Company”) on Form 10-K for the period ending December 31, 2025, as filed with the Securities and Exchange Commission on the date hereof (the “Report”), I, Shahan Ohanessian, Chief Executive Officer of the Company, certify, pursuant to 18 U.S.C.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3/24/2026</w:t>
      </w:r>
      <w:r>
        <w:rPr>
          <w:sz w:val="20"/>
          <w:szCs w:val="20"/>
          <w:color w:val="auto"/>
        </w:rPr>
        <w:tab/>
      </w:r>
      <w:r>
        <w:rPr>
          <w:rFonts w:ascii="Times New Roman" w:cs="Times New Roman" w:eastAsia="Times New Roman" w:hAnsi="Times New Roman"/>
          <w:sz w:val="17"/>
          <w:szCs w:val="17"/>
          <w:i w:val="1"/>
          <w:iCs w:val="1"/>
          <w:color w:val="auto"/>
        </w:rPr>
        <w:t>/s/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Shahan Ohanessian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VenHub Global, Inc. (the “Company”) on Form 10-K for the period ending December 31, 2025, as filed with the Securities and Exchange Commission on the date hereof (the “Report”), I, Matt Hidalgo, Chief Financial Officer of the Company, certify, pursuant to 18 U.S.C.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3/24/2026</w:t>
      </w:r>
      <w:r>
        <w:rPr>
          <w:sz w:val="20"/>
          <w:szCs w:val="20"/>
          <w:color w:val="auto"/>
        </w:rPr>
        <w:tab/>
      </w:r>
      <w:r>
        <w:rPr>
          <w:rFonts w:ascii="Times New Roman" w:cs="Times New Roman" w:eastAsia="Times New Roman" w:hAnsi="Times New Roman"/>
          <w:sz w:val="17"/>
          <w:szCs w:val="17"/>
          <w:i w:val="1"/>
          <w:iCs w:val="1"/>
          <w:color w:val="auto"/>
        </w:rPr>
        <w:t>/s/ Matt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Hidalgo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October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I.Purpose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Compensation Recovery Policy (the “Policy”) is to outline the circumstances under which VenHub Global, Inc. (the “Company”) will recover certain compensation paid to employees. Any reference to the Company’s “recoupment,” “clawback,” or similar policies in compensation plans, agreements, equity awards, or other documents shall refer to this Policy as required by Section 10D of the Exchange Act and NASDAQ Marketplace Rule 5608.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Requirement to Recover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recover any Erroneously Awarded Compensation promptly if it is required to prepare an Accounting Restatement due to material noncompliance with any financial reporting requirement under the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Policy, the following terms shall have the meanings set forth below:</w:t>
      </w:r>
    </w:p>
    <w:p>
      <w:pPr>
        <w:spacing w:after="0" w:line="225" w:lineRule="exact"/>
        <w:rPr>
          <w:sz w:val="20"/>
          <w:szCs w:val="20"/>
          <w:color w:val="auto"/>
        </w:rPr>
      </w:pPr>
    </w:p>
    <w:p>
      <w:pPr>
        <w:jc w:val="both"/>
        <w:ind w:firstLine="8"/>
        <w:spacing w:after="0" w:line="266" w:lineRule="auto"/>
        <w:tabs>
          <w:tab w:leader="none" w:pos="1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Restatement: A restatement of the Company’s financial statements required due to material noncompliance with any financial reporting requirement under the securities laws. This includes any restatement to correct an error that is material to previously issued financial statements or would result in a material misstatement if not corrected in the current period.</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Officer: Any executive officer of the Company, including the president, principal financial officer, principal accounting officer (or controller, if applicable), any vice president in charge of a principal business unit, division, or function (e.g., sales, administration, finance), or any other officer or individual performing significant policy-making functions. This also includes executive officers of the Company’s parent(s) or subsidiaries if they perform such functions for the Company, in accordance with Item 401(b) of Regulation S-K.</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date of adoption of Section 5608 of the Nasdaq Listing Rules.</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The amount of Incentive-Based Compensation that exceeds what would have been received based on the restated financial statements. This amount is calculated by comparing the Incentive-Based Compensation Received by a Covered Officer during the Recovery Period to the Recalculated Compensation.5. 6. 7. Incentive-Based Compensation: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Stock price and total shareholder return are always considered financial reporting measures. This Policy does not apply to equity-based awards such as stock options, restricted stock, or restricted stock units, where the grant is not contingent on achieving any financial reporting measure performance goal and vesting is solely based on service or non-financial performance measures. Recalculated Compensation: The amount of Incentive-Based Compensation that should have been received based on the corrected information in the Accounting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Restatement, calculated without regard to taxes paid. For Incentive-Based Compensation based on stock price or total shareholder return, where direct mathematical recalculation is not possible, the Company will use a reasonable estimate of the impact of the Accounting Restatement on these metrics. The Company must document this estimation process and provide it to the relevant securities exchange or association upon request. Received: Incentive-Based Compensation is considered “Received” in the fiscal period during which the financial reporting measure specified in the award is attained, regardless of when the payment or grant actually occurs. Recovery Period: The three completed fiscal years immediately preceding the date the Company is required to prepare an Accounting Restatement. The Company is deemed to be “required to prepare an Accounting Restatement” on the earliest of the date when (i) the Company’s Board of Directors or a committee thereof, or the Company’s officer(s) authorized to take such action, concludes, or reasonably should have concluded, that a restatement is necessary, or (ii) a court, regulator, or other legally authorized body directs the Company to prepare a restatement. If the Company changes its fiscal year, any transition period within or immediately following the three completed fiscal years is included in the Recovery Period. If the transition period lasts nine to twelve months, it will be considered one of the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Exceptions: Recovery of Erroneously Awarded Compensation will not be required if the committee of independent directors responsible for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(or a majority of the independent directors on the Board, if there is no such committee) determines that recovery would be impracticable and one of the following conditions is met:</w:t>
      </w:r>
    </w:p>
    <w:p>
      <w:pPr>
        <w:spacing w:after="0" w:line="175" w:lineRule="exact"/>
        <w:rPr>
          <w:sz w:val="20"/>
          <w:szCs w:val="20"/>
          <w:color w:val="auto"/>
        </w:rPr>
      </w:pPr>
    </w:p>
    <w:p>
      <w:pPr>
        <w:ind w:right="20" w:firstLine="8"/>
        <w:spacing w:after="0" w:line="282" w:lineRule="auto"/>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the Policy would exceed the amount to be recovered, provided that the Company must first make a reasonable attempt to recover the compensation, document such attempts, and provide this documentation to the relevant securities exchange or association.</w:t>
      </w:r>
    </w:p>
    <w:p>
      <w:pPr>
        <w:spacing w:after="0" w:line="162" w:lineRule="exact"/>
        <w:rPr>
          <w:sz w:val="20"/>
          <w:szCs w:val="20"/>
          <w:color w:val="auto"/>
        </w:rPr>
      </w:pPr>
    </w:p>
    <w:p>
      <w:pPr>
        <w:jc w:val="both"/>
        <w:ind w:firstLine="8"/>
        <w:spacing w:after="0" w:line="266"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Recovery would violate home country law that was adopted prior to November 28, 2022, as demonstrated by an opinion of home country counsel. The Company must obtain an opinion from home country counsel, acceptable to the relevant securities exchange or association, confirming that recovery would result in a violation and provide this opinion to the exchange or association.</w:t>
      </w:r>
    </w:p>
    <w:p>
      <w:pPr>
        <w:spacing w:after="0" w:line="176" w:lineRule="exact"/>
        <w:rPr>
          <w:sz w:val="20"/>
          <w:szCs w:val="20"/>
          <w:color w:val="auto"/>
        </w:rPr>
      </w:pPr>
    </w:p>
    <w:p>
      <w:pPr>
        <w:ind w:firstLine="8"/>
        <w:spacing w:after="0" w:line="282" w:lineRule="auto"/>
        <w:tabs>
          <w:tab w:leader="none" w:pos="1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to fail to meet the requirements of 26 U.S.C 401(a)(13) or 26 U.S.C. 411(a) and related regulations.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V. Manner of Recovery</w:t>
      </w:r>
      <w:r>
        <w:rPr>
          <w:rFonts w:ascii="Times New Roman" w:cs="Times New Roman" w:eastAsia="Times New Roman" w:hAnsi="Times New Roman"/>
          <w:sz w:val="18"/>
          <w:szCs w:val="18"/>
          <w:color w:val="auto"/>
        </w:rPr>
        <w:t>: To recover any Erroneously Awarded Compensation, the Company may, in addition to any other actions permitted by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w:t>
      </w:r>
    </w:p>
    <w:p>
      <w:pPr>
        <w:spacing w:after="0" w:line="159"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Covered Officer to repay the amount.</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the amount from any other compensation owed to the Covered Officer by the Company or any of its affiliates, subject to applicable law and any contractual limitations.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 any deferred compensation (including earnings) from the Covered Officer’sbalance in a deferred compensation plan, whether or not the plan permits such forfeiture.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Erroneously Awarded Compensation consists of shares of the Company’s common stock still owned by theCovered Officer, the Company may require the Covered Officer to transfer those shares back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Administration and Compliance</w:t>
      </w:r>
    </w:p>
    <w:p>
      <w:pPr>
        <w:spacing w:after="0" w:line="229" w:lineRule="exact"/>
        <w:rPr>
          <w:sz w:val="20"/>
          <w:szCs w:val="20"/>
          <w:color w:val="auto"/>
        </w:rPr>
      </w:pPr>
    </w:p>
    <w:p>
      <w:pPr>
        <w:jc w:val="both"/>
        <w:ind w:firstLine="8"/>
        <w:spacing w:after="0" w:line="266" w:lineRule="auto"/>
        <w:tabs>
          <w:tab w:leader="none" w:pos="1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administered, interpreted, and amended by the Company’s Board of Directors or any committee to which the Board delegates its authority, in compliance with the applicable listing standards of the national securities exchange or association on which the Company’s securities are listed. Determinations made by the Board, or its designated committee, shall be binding on all Covered Officers.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Officer against the loss of Erroneously Awarded Compensation.</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all required disclosures related to this Policy in accordance with Federal securities laws and the applicable rules of the Securities and Exchange Commission.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recovery under this Policy is in addition to, and not in lieu of, any other rights of recovery that the Company may have.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VII. Scope, Communication, and Review</w:t>
      </w:r>
      <w:r>
        <w:rPr>
          <w:rFonts w:ascii="Times New Roman" w:cs="Times New Roman" w:eastAsia="Times New Roman" w:hAnsi="Times New Roman"/>
          <w:sz w:val="18"/>
          <w:szCs w:val="18"/>
          <w:color w:val="auto"/>
        </w:rPr>
        <w:t>1. 2. 3. 4. Scope of Applicability: This Policy applies to all Incentive-Based Compensation awarded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Compensation awarded prior to this date is not subject to recovery under this Policy unless specified otherwise. Notification and Communication: The Company shall promptly notify any Covered Officer from whom recovery is sought, detailing the amount of Erroneously Awarded Compensation, the method of recovery, and the repayment timeline. Covered Officers shall have an opportunity to respond to this notification. Appeal Process: Covered Officers may appeal the recovery decision within 30 days of receiving notice. Appeals must be submitted in writing to the Company’s Board or the designated committee, which will review and resolve the appeal within 60 days of receipt.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Record-Keeping: The Company shall maintain detailed records of all determinations, attempts to recover compensation, communications, and any related documentation in connection with this Policy. Periodic Review and Updates: The Board or its designated committee shall review this Policy periodically and make amendments as necessary to ensure compliance with applicable laws, regulations, and listing standards.</w:t>
      </w:r>
    </w:p>
    <w:p>
      <w:pPr>
        <w:spacing w:after="0" w:line="176" w:lineRule="exact"/>
        <w:rPr>
          <w:sz w:val="20"/>
          <w:szCs w:val="20"/>
          <w:color w:val="auto"/>
        </w:rPr>
      </w:pPr>
    </w:p>
    <w:p>
      <w:pPr>
        <w:ind w:right="20" w:firstLine="8"/>
        <w:spacing w:after="0" w:line="282" w:lineRule="auto"/>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Awareness: The Company shall provide training to all Covered Officers and relevant employees on the provisions of this Policy to ensure compliance and understanding.</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All actions and communications under this Policy shall be kept confidential, to the extent possible, to protect the privacy of the individuals involved and maintain the integrity of the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3"/>
    </w:lvl>
    <w:lvl w:ilvl="1">
      <w:lvlJc w:val="left"/>
      <w:lvlText w:val="●"/>
      <w:numFmt w:val="bullet"/>
      <w:start w:val="1"/>
    </w:lvl>
  </w:abstractNum>
  <w:abstractNum w:abstractNumId="21">
    <w:nsid w:val="5072367"/>
    <w:multiLevelType w:val="hybridMultilevel"/>
    <w:lvl w:ilvl="0">
      <w:lvlJc w:val="left"/>
      <w:lvlText w:val="(%1)"/>
      <w:numFmt w:val="lowerRoman"/>
      <w:start w:val="1"/>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Roman"/>
      <w:start w:val="6"/>
    </w:lvl>
  </w:abstractNum>
  <w:abstractNum w:abstractNumId="24">
    <w:nsid w:val="7724C67E"/>
    <w:multiLevelType w:val="hybridMultilevel"/>
    <w:lvl w:ilvl="0">
      <w:lvlJc w:val="left"/>
      <w:lvlText w:val="%1."/>
      <w:numFmt w:val="decimal"/>
      <w:start w:val="4"/>
    </w:lvl>
  </w:abstractNum>
  <w:abstractNum w:abstractNumId="25">
    <w:nsid w:val="5C482A97"/>
    <w:multiLevelType w:val="hybridMultilevel"/>
    <w:lvl w:ilvl="0">
      <w:lvlJc w:val="left"/>
      <w:lvlText w:val="%1."/>
      <w:numFmt w:val="decimal"/>
      <w:start w:val="5"/>
    </w:lvl>
  </w:abstractNum>
  <w:abstractNum w:abstractNumId="26">
    <w:nsid w:val="2463B9EA"/>
    <w:multiLevelType w:val="hybridMultilevel"/>
    <w:lvl w:ilvl="0">
      <w:lvlJc w:val="left"/>
      <w:lvlText w:val="%1."/>
      <w:numFmt w:val="decimal"/>
      <w:start w:val="7"/>
    </w:lvl>
  </w:abstractNum>
  <w:abstractNum w:abstractNumId="27">
    <w:nsid w:val="5E884ADC"/>
    <w:multiLevelType w:val="hybridMultilevel"/>
    <w:lvl w:ilvl="0">
      <w:lvlJc w:val="left"/>
      <w:lvlText w:val="%1."/>
      <w:numFmt w:val="decimal"/>
      <w:start w:val="8"/>
    </w:lvl>
  </w:abstractNum>
  <w:abstractNum w:abstractNumId="28">
    <w:nsid w:val="51EAD36B"/>
    <w:multiLevelType w:val="hybridMultilevel"/>
    <w:lvl w:ilvl="0">
      <w:lvlJc w:val="left"/>
      <w:lvlText w:val="%1."/>
      <w:numFmt w:val="decimal"/>
      <w:start w:val="9"/>
    </w:lvl>
    <w:lvl w:ilvl="1">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decimal"/>
      <w:start w:val="3"/>
    </w:lvl>
  </w:abstractNum>
  <w:abstractNum w:abstractNumId="32">
    <w:nsid w:val="3855585C"/>
    <w:multiLevelType w:val="hybridMultilevel"/>
    <w:lvl w:ilvl="0">
      <w:lvlJc w:val="left"/>
      <w:lvlText w:val="(%1)"/>
      <w:numFmt w:val="lowerRoman"/>
      <w:start w:val="1"/>
    </w:lvl>
  </w:abstractNum>
  <w:abstractNum w:abstractNumId="33">
    <w:nsid w:val="70A64E2A"/>
    <w:multiLevelType w:val="hybridMultilevel"/>
    <w:lvl w:ilvl="0">
      <w:lvlJc w:val="left"/>
      <w:lvlText w:val="%1."/>
      <w:numFmt w:val="decimal"/>
      <w:start w:val="4"/>
    </w:lvl>
  </w:abstractNum>
  <w:abstractNum w:abstractNumId="34">
    <w:nsid w:val="6A2342EC"/>
    <w:multiLevelType w:val="hybridMultilevel"/>
    <w:lvl w:ilvl="0">
      <w:lvlJc w:val="left"/>
      <w:lvlText w:val="%1"/>
      <w:numFmt w:val="decimal"/>
      <w:start w:val="1"/>
    </w:lvl>
    <w:lvl w:ilvl="1">
      <w:lvlJc w:val="left"/>
      <w:lvlText w:val="%2."/>
      <w:numFmt w:val="decimal"/>
      <w:start w:val="5"/>
    </w:lvl>
  </w:abstractNum>
  <w:abstractNum w:abstractNumId="35">
    <w:nsid w:val="2A487CB0"/>
    <w:multiLevelType w:val="hybridMultilevel"/>
    <w:lvl w:ilvl="0">
      <w:lvlJc w:val="left"/>
      <w:lvlText w:val="%1."/>
      <w:numFmt w:val="decimal"/>
      <w:start w:val="10"/>
    </w:lvl>
    <w:lvl w:ilvl="1">
      <w:lvlJc w:val="left"/>
      <w:lvlText w:val="%2"/>
      <w:numFmt w:val="decimal"/>
      <w:start w:val="1"/>
    </w:lvl>
  </w:abstractNum>
  <w:abstractNum w:abstractNumId="36">
    <w:nsid w:val="1D4ED43B"/>
    <w:multiLevelType w:val="hybridMultilevel"/>
    <w:lvl w:ilvl="0">
      <w:lvlJc w:val="left"/>
      <w:lvlText w:val="%1."/>
      <w:numFmt w:val="decimal"/>
      <w:start w:val="11"/>
    </w:lvl>
  </w:abstractNum>
  <w:abstractNum w:abstractNumId="37">
    <w:nsid w:val="725A06FB"/>
    <w:multiLevelType w:val="hybridMultilevel"/>
    <w:lvl w:ilvl="0">
      <w:lvlJc w:val="left"/>
      <w:lvlText w:val="%1."/>
      <w:numFmt w:val="decimal"/>
      <w:start w:val="12"/>
    </w:lvl>
  </w:abstractNum>
  <w:abstractNum w:abstractNumId="38">
    <w:nsid w:val="2CD89A32"/>
    <w:multiLevelType w:val="hybridMultilevel"/>
    <w:lvl w:ilvl="0">
      <w:lvlJc w:val="left"/>
      <w:lvlText w:val="%1."/>
      <w:numFmt w:val="decimal"/>
      <w:start w:val="14"/>
    </w:lvl>
  </w:abstractNum>
  <w:abstractNum w:abstractNumId="39">
    <w:nsid w:val="57E4CCAF"/>
    <w:multiLevelType w:val="hybridMultilevel"/>
    <w:lvl w:ilvl="0">
      <w:lvlJc w:val="left"/>
      <w:lvlText w:val="%1."/>
      <w:numFmt w:val="decimal"/>
      <w:start w:val="1"/>
    </w:lvl>
    <w:lvl w:ilvl="1">
      <w:lvlJc w:val="left"/>
      <w:lvlText w:val="%2)"/>
      <w:numFmt w:val="lowerLetter"/>
      <w:start w:val="1"/>
    </w:lvl>
  </w:abstractNum>
  <w:abstractNum w:abstractNumId="40">
    <w:nsid w:val="7A6D8D3C"/>
    <w:multiLevelType w:val="hybridMultilevel"/>
    <w:lvl w:ilvl="0">
      <w:lvlJc w:val="left"/>
      <w:lvlText w:val="%1."/>
      <w:numFmt w:val="decimal"/>
      <w:start w:val="1"/>
    </w:lvl>
    <w:lvl w:ilvl="1">
      <w:lvlJc w:val="left"/>
      <w:lvlText w:val="%2)"/>
      <w:numFmt w:val="lowerLetter"/>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8"/>
    </w:lvl>
  </w:abstractNum>
  <w:abstractNum w:abstractNumId="46">
    <w:nsid w:val="32FFF902"/>
    <w:multiLevelType w:val="hybridMultilevel"/>
    <w:lvl w:ilvl="0">
      <w:lvlJc w:val="left"/>
      <w:lvlText w:val="%1."/>
      <w:numFmt w:val="decimal"/>
      <w:start w:val="3"/>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jpe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79" Type="http://schemas.openxmlformats.org/officeDocument/2006/relationships/hyperlink" Target="http://www.sec.gov/Archives/edgar/data/1972234/000121390025096107/ea025905801ex3-1_venhub.htm" TargetMode="External"/><Relationship Id="rId80" Type="http://schemas.openxmlformats.org/officeDocument/2006/relationships/hyperlink" Target="http://www.sec.gov/Archives/edgar/data/1972234/000121390025096107/ea025905801ex3-2_venhub.htm" TargetMode="External"/><Relationship Id="rId81" Type="http://schemas.openxmlformats.org/officeDocument/2006/relationships/hyperlink" Target="http://www.sec.gov/Archives/edgar/data/1972234/000121390025096107/ea025905801ex3-3_venhub.htm" TargetMode="External"/><Relationship Id="rId82" Type="http://schemas.openxmlformats.org/officeDocument/2006/relationships/hyperlink" Target="http://www.sec.gov/Archives/edgar/data/1972234/000121390025096107/ea025905801ex3-4_venhub.htm" TargetMode="External"/><Relationship Id="rId83" Type="http://schemas.openxmlformats.org/officeDocument/2006/relationships/hyperlink" Target="http://www.sec.gov/Archives/edgar/data/1972234/000121390025096107/ea025905801ex3-5_venhub.htm" TargetMode="External"/><Relationship Id="rId84" Type="http://schemas.openxmlformats.org/officeDocument/2006/relationships/hyperlink" Target="http://www.sec.gov/Archives/edgar/data/1972234/000121390025096107/ea025905801ex3-7_venhub.htm" TargetMode="External"/><Relationship Id="rId85" Type="http://schemas.openxmlformats.org/officeDocument/2006/relationships/hyperlink" Target="http://www.sec.gov/Archives/edgar/data/1972234/000121390025096107/ea025905801ex3-8_venhub.htm" TargetMode="External"/><Relationship Id="rId86" Type="http://schemas.openxmlformats.org/officeDocument/2006/relationships/hyperlink" Target="http://www.sec.gov/Archives/edgar/data/1972234/000121390025096107/ea025905801ex3-9_venhub.htm" TargetMode="External"/><Relationship Id="rId87" Type="http://schemas.openxmlformats.org/officeDocument/2006/relationships/hyperlink" Target="http://www.sec.gov/Archives/edgar/data/1972234/000121390025096107/ea025905801ex10-1_venhub.htm" TargetMode="External"/><Relationship Id="rId88" Type="http://schemas.openxmlformats.org/officeDocument/2006/relationships/hyperlink" Target="http://www.sec.gov/Archives/edgar/data/1972234/000121390025096107/ea025905801ex10-2_venhub.htm" TargetMode="External"/><Relationship Id="rId89" Type="http://schemas.openxmlformats.org/officeDocument/2006/relationships/hyperlink" Target="http://www.sec.gov/Archives/edgar/data/1972234/000121390025096107/ea025905801ex10-3_venhub.htm" TargetMode="External"/><Relationship Id="rId90" Type="http://schemas.openxmlformats.org/officeDocument/2006/relationships/hyperlink" Target="http://www.sec.gov/Archives/edgar/data/1972234/000121390025096107/ea025905801ex10-4_venhub.htm" TargetMode="External"/><Relationship Id="rId91" Type="http://schemas.openxmlformats.org/officeDocument/2006/relationships/hyperlink" Target="http://www.sec.gov/Archives/edgar/data/1972234/000121390025096107/ea025905801ex10-5_venhub.htm" TargetMode="External"/><Relationship Id="rId92" Type="http://schemas.openxmlformats.org/officeDocument/2006/relationships/hyperlink" Target="http://www.sec.gov/Archives/edgar/data/1972234/000121390025096107/ea025905801ex14-1_venhu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2026-03-24T13:37:44Z</dcterms:created>
  <dcterms:modified xsi:type="dcterms:W3CDTF">2026-03-24T13:37:44Z</dcterms:modified>
</cp:coreProperties>
</file>